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B67B" w14:textId="03254F4D" w:rsidR="003377AF" w:rsidRDefault="003377AF" w:rsidP="003377AF">
      <w:pPr>
        <w:spacing w:after="0" w:line="288" w:lineRule="auto"/>
        <w:rPr>
          <w:b/>
          <w:color w:val="A50021"/>
          <w:sz w:val="28"/>
          <w:szCs w:val="28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813"/>
        <w:gridCol w:w="963"/>
        <w:gridCol w:w="962"/>
        <w:gridCol w:w="963"/>
        <w:gridCol w:w="963"/>
        <w:gridCol w:w="963"/>
      </w:tblGrid>
      <w:tr w:rsidR="003377AF" w14:paraId="5A91C0EA" w14:textId="77777777" w:rsidTr="00E36204">
        <w:trPr>
          <w:trHeight w:val="850"/>
        </w:trPr>
        <w:tc>
          <w:tcPr>
            <w:tcW w:w="48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155260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 w:rsidRPr="00191EE2">
              <w:rPr>
                <w:b/>
                <w:noProof/>
              </w:rPr>
              <w:drawing>
                <wp:inline distT="0" distB="0" distL="0" distR="0" wp14:anchorId="643FF6FC" wp14:editId="04F31C22">
                  <wp:extent cx="1790700" cy="1398576"/>
                  <wp:effectExtent l="0" t="0" r="0" b="0"/>
                  <wp:docPr id="5" name="Image 5" descr="P:\logo IFOP 2018 (corporat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 IFOP 2018 (corporat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78" cy="14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5F795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C647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5FA5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0C38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7A91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single" w:sz="36" w:space="0" w:color="A50021"/>
              <w:left w:val="nil"/>
              <w:bottom w:val="nil"/>
              <w:right w:val="single" w:sz="36" w:space="0" w:color="A50021"/>
            </w:tcBorders>
            <w:vAlign w:val="bottom"/>
          </w:tcPr>
          <w:p w14:paraId="448FC552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</w:tr>
      <w:tr w:rsidR="003377AF" w14:paraId="6C9F85A7" w14:textId="77777777" w:rsidTr="00E36204">
        <w:trPr>
          <w:trHeight w:val="1984"/>
        </w:trPr>
        <w:tc>
          <w:tcPr>
            <w:tcW w:w="4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A2C0F4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125B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8AFE1E" wp14:editId="5843C6D3">
                  <wp:extent cx="1133475" cy="1133475"/>
                  <wp:effectExtent l="0" t="0" r="9525" b="9525"/>
                  <wp:docPr id="4" name="Image 4" descr="C:\Users\m_chasles-parot\AppData\Local\Microsoft\Windows\INetCache\Content.MSO\214640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_chasles-parot\AppData\Local\Microsoft\Windows\INetCache\Content.MSO\214640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61" cy="11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B9EBFF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2F654B" wp14:editId="244DC384">
                  <wp:extent cx="1914525" cy="701820"/>
                  <wp:effectExtent l="0" t="0" r="0" b="3175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&#10;&#10;Description générée automatiquemen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005" cy="73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7AF" w:rsidRPr="00D02A1F" w14:paraId="63C3753E" w14:textId="77777777" w:rsidTr="009556B9">
        <w:trPr>
          <w:trHeight w:val="2958"/>
        </w:trPr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3ED746C9" w14:textId="2BFE3EB9" w:rsidR="009556B9" w:rsidRPr="00D02A1F" w:rsidRDefault="009556B9" w:rsidP="009556B9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spacing w:after="240" w:line="312" w:lineRule="auto"/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556B9">
              <w:rPr>
                <w:rFonts w:ascii="Century Gothic" w:hAnsi="Century Gothic"/>
                <w:b/>
                <w:color w:val="808080" w:themeColor="background1" w:themeShade="80"/>
                <w:sz w:val="48"/>
                <w:szCs w:val="48"/>
              </w:rPr>
              <w:t>L’attitude des Français vis-à-vis des déchets sauvages</w:t>
            </w:r>
            <w:r>
              <w:rPr>
                <w:rFonts w:ascii="Century Gothic" w:hAnsi="Century Gothic"/>
                <w:b/>
                <w:sz w:val="48"/>
                <w:szCs w:val="48"/>
              </w:rPr>
              <w:br/>
            </w:r>
            <w:r w:rsidRPr="009556B9">
              <w:rPr>
                <w:rFonts w:ascii="Century Gothic" w:hAnsi="Century Gothic"/>
                <w:bCs/>
                <w:i/>
                <w:iCs/>
                <w:color w:val="808080" w:themeColor="background1" w:themeShade="80"/>
                <w:sz w:val="40"/>
                <w:szCs w:val="40"/>
              </w:rPr>
              <w:t>Synthèse des principaux enseignements</w:t>
            </w:r>
          </w:p>
        </w:tc>
      </w:tr>
      <w:tr w:rsidR="003377AF" w14:paraId="2C24269E" w14:textId="77777777" w:rsidTr="00E36204">
        <w:trPr>
          <w:trHeight w:val="3402"/>
        </w:trPr>
        <w:tc>
          <w:tcPr>
            <w:tcW w:w="9627" w:type="dxa"/>
            <w:gridSpan w:val="6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5C75BEC3" w14:textId="09E3659E" w:rsidR="003377AF" w:rsidRPr="00D02A1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spacing w:before="240"/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6526D8D" wp14:editId="3341A8D1">
                  <wp:simplePos x="0" y="0"/>
                  <wp:positionH relativeFrom="column">
                    <wp:posOffset>-68889</wp:posOffset>
                  </wp:positionH>
                  <wp:positionV relativeFrom="paragraph">
                    <wp:posOffset>2166895</wp:posOffset>
                  </wp:positionV>
                  <wp:extent cx="6102350" cy="1428252"/>
                  <wp:effectExtent l="0" t="0" r="0" b="635"/>
                  <wp:wrapNone/>
                  <wp:docPr id="3" name="Image 3" descr="Une image contenant personne, extérieur, rue, gen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personne, extérieur, rue, gens&#10;&#10;Description générée automatiquement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88" r="1248" b="35407"/>
                          <a:stretch/>
                        </pic:blipFill>
                        <pic:spPr bwMode="auto">
                          <a:xfrm>
                            <a:off x="0" y="0"/>
                            <a:ext cx="6123301" cy="14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A50021"/>
                <w:sz w:val="40"/>
                <w:szCs w:val="40"/>
              </w:rPr>
              <w:t>Ifop pour Gestes Propres et Citeo</w:t>
            </w:r>
          </w:p>
        </w:tc>
      </w:tr>
      <w:tr w:rsidR="003377AF" w14:paraId="135F5328" w14:textId="77777777" w:rsidTr="00E36204">
        <w:trPr>
          <w:trHeight w:val="2268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14:paraId="01EA44D5" w14:textId="77777777" w:rsidR="003377AF" w:rsidRDefault="003377AF" w:rsidP="00E36204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left="-113"/>
              <w:jc w:val="center"/>
              <w:rPr>
                <w:b/>
              </w:rPr>
            </w:pPr>
          </w:p>
        </w:tc>
      </w:tr>
      <w:tr w:rsidR="003377AF" w14:paraId="47A618A8" w14:textId="77777777" w:rsidTr="00E36204">
        <w:trPr>
          <w:trHeight w:val="2268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14:paraId="4B05ECB7" w14:textId="635D6290" w:rsidR="003377AF" w:rsidRPr="0012724E" w:rsidRDefault="00E36204" w:rsidP="00E36204">
            <w:pPr>
              <w:pStyle w:val="NoSpacing"/>
              <w:spacing w:after="6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sdt>
              <w:sdtPr>
                <w:rPr>
                  <w:rFonts w:ascii="Century Gothic" w:hAnsi="Century Gothic" w:cs="Calibri"/>
                  <w:caps/>
                  <w:color w:val="FFFFFF" w:themeColor="background1"/>
                  <w:sz w:val="20"/>
                  <w:lang w:val="en-US"/>
                </w:rPr>
                <w:alias w:val="Initiales Resp"/>
                <w:tag w:val="Initiales Resp"/>
                <w:id w:val="-1343466259"/>
                <w:placeholder>
                  <w:docPart w:val="FFBE5721A6A24C82BA1DBA06CB9351CD"/>
                </w:placeholder>
                <w:comboBox>
                  <w:listItem w:displayText="FD" w:value="FD"/>
                  <w:listItem w:displayText="JF" w:value="JF"/>
                  <w:listItem w:displayText="FK" w:value="FK"/>
                </w:comboBox>
              </w:sdtPr>
              <w:sdtContent>
                <w:r w:rsidR="009556B9">
                  <w:rPr>
                    <w:rFonts w:ascii="Century Gothic" w:hAnsi="Century Gothic" w:cs="Calibri"/>
                    <w:caps/>
                    <w:color w:val="FFFFFF" w:themeColor="background1"/>
                    <w:sz w:val="20"/>
                    <w:lang w:val="en-US"/>
                  </w:rPr>
                  <w:t>mg/</w:t>
                </w:r>
                <w:r w:rsidR="003377AF">
                  <w:rPr>
                    <w:rFonts w:ascii="Century Gothic" w:hAnsi="Century Gothic" w:cs="Calibri"/>
                    <w:caps/>
                    <w:color w:val="FFFFFF" w:themeColor="background1"/>
                    <w:sz w:val="20"/>
                    <w:lang w:val="en-US"/>
                  </w:rPr>
                  <w:t>FG</w:t>
                </w:r>
              </w:sdtContent>
            </w:sdt>
            <w:r w:rsidR="003377AF" w:rsidRPr="0012724E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 N° </w:t>
            </w:r>
            <w:r w:rsidR="003377AF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>116497</w:t>
            </w:r>
          </w:p>
          <w:p w14:paraId="3D570864" w14:textId="77777777" w:rsidR="003377AF" w:rsidRPr="00147B41" w:rsidRDefault="003377AF" w:rsidP="00E36204">
            <w:pPr>
              <w:pStyle w:val="NoSpacing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r w:rsidRPr="00147B41">
              <w:rPr>
                <w:rFonts w:ascii="Century Gothic" w:hAnsi="Century Gothic" w:cs="Calibri"/>
                <w:color w:val="FFFFFF" w:themeColor="background1"/>
                <w:sz w:val="20"/>
                <w:u w:val="single"/>
                <w:lang w:val="en-US"/>
              </w:rPr>
              <w:t>Contacts Ifop</w:t>
            </w:r>
            <w:r w:rsidRPr="00147B41">
              <w:rPr>
                <w:rFonts w:ascii="Century Gothic" w:hAnsi="Century Gothic" w:cs="Calibri"/>
                <w:color w:val="FFFFFF" w:themeColor="background1"/>
                <w:sz w:val="20"/>
                <w:lang w:val="en-US"/>
              </w:rPr>
              <w:t xml:space="preserve"> </w:t>
            </w:r>
            <w:r w:rsidRPr="00147B41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: </w:t>
            </w:r>
          </w:p>
          <w:p w14:paraId="4EE9AAFC" w14:textId="311A37F3" w:rsidR="003377AF" w:rsidRPr="00FE15C1" w:rsidRDefault="009556B9" w:rsidP="00E36204">
            <w:pPr>
              <w:pStyle w:val="NoSpacing"/>
              <w:spacing w:before="40" w:after="40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Marie GARIAZZO / </w:t>
            </w:r>
            <w:r w:rsidR="003377AF"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Fabienne </w:t>
            </w:r>
            <w:r>
              <w:rPr>
                <w:rFonts w:ascii="Century Gothic" w:hAnsi="Century Gothic" w:cs="Calibri"/>
                <w:color w:val="FFFFFF" w:themeColor="background1"/>
                <w:sz w:val="20"/>
              </w:rPr>
              <w:t>GOMANT</w:t>
            </w:r>
          </w:p>
          <w:p w14:paraId="75516A66" w14:textId="77777777" w:rsidR="003377AF" w:rsidRPr="00FE15C1" w:rsidRDefault="003377AF" w:rsidP="00E36204">
            <w:pPr>
              <w:pStyle w:val="NoSpacing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olor w:val="FFFFFF" w:themeColor="background1"/>
                <w:sz w:val="20"/>
              </w:rPr>
              <w:t>Département Opinion et Stratégies d'Entreprise</w:t>
            </w:r>
          </w:p>
          <w:p w14:paraId="4F6BB7A0" w14:textId="77777777" w:rsidR="003377AF" w:rsidRPr="00FE15C1" w:rsidRDefault="003377AF" w:rsidP="00E36204">
            <w:pPr>
              <w:pStyle w:val="NoSpacing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  <w:t>Tél : 01 45 84 14 44</w:t>
            </w:r>
          </w:p>
          <w:p w14:paraId="7270569B" w14:textId="77777777" w:rsidR="003377AF" w:rsidRDefault="003377AF" w:rsidP="00E36204">
            <w:pPr>
              <w:pStyle w:val="NoSpacing"/>
              <w:ind w:left="340"/>
              <w:rPr>
                <w:rFonts w:ascii="Century Gothic" w:hAnsi="Century Gothic" w:cs="Calibri"/>
                <w:color w:val="FFFFFF" w:themeColor="background1"/>
                <w:sz w:val="20"/>
              </w:rPr>
            </w:pPr>
            <w:r w:rsidRPr="006B2271">
              <w:rPr>
                <w:rFonts w:ascii="Century Gothic" w:hAnsi="Century Gothic" w:cs="Calibri"/>
                <w:color w:val="FFFFFF" w:themeColor="background1"/>
                <w:sz w:val="20"/>
              </w:rPr>
              <w:t>prenom.nom@ifop.com</w:t>
            </w:r>
          </w:p>
          <w:p w14:paraId="5AB75E36" w14:textId="7605A537" w:rsidR="003377AF" w:rsidRPr="00C47C6F" w:rsidRDefault="009556B9" w:rsidP="00E36204">
            <w:pPr>
              <w:pStyle w:val="NoSpacing"/>
              <w:spacing w:before="40" w:after="40"/>
              <w:ind w:left="340"/>
              <w:rPr>
                <w:rFonts w:ascii="Century Gothic" w:eastAsia="Calibri" w:hAnsi="Century Gothic" w:cs="Calibri"/>
                <w:b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Century Gothic" w:eastAsia="Calibri" w:hAnsi="Century Gothic" w:cs="Calibri"/>
                <w:b/>
                <w:caps/>
                <w:color w:val="FFFFFF" w:themeColor="background1"/>
                <w:sz w:val="20"/>
                <w:szCs w:val="20"/>
                <w:lang w:eastAsia="fr-FR"/>
              </w:rPr>
              <w:t>SEPTEMBRE 2020</w:t>
            </w:r>
          </w:p>
        </w:tc>
      </w:tr>
    </w:tbl>
    <w:p w14:paraId="4A0CB31B" w14:textId="77777777" w:rsidR="003377AF" w:rsidRDefault="003377AF" w:rsidP="003377AF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14:paraId="666BB90C" w14:textId="77777777" w:rsidR="003377AF" w:rsidRDefault="003377AF" w:rsidP="003377AF">
      <w:pPr>
        <w:spacing w:after="0" w:line="288" w:lineRule="auto"/>
        <w:rPr>
          <w:b/>
          <w:color w:val="A50021"/>
          <w:sz w:val="28"/>
          <w:szCs w:val="28"/>
        </w:rPr>
        <w:sectPr w:rsidR="003377AF" w:rsidSect="003377AF">
          <w:pgSz w:w="11906" w:h="16838"/>
          <w:pgMar w:top="680" w:right="1418" w:bottom="567" w:left="1418" w:header="709" w:footer="709" w:gutter="0"/>
          <w:cols w:space="708"/>
          <w:docGrid w:linePitch="360"/>
        </w:sectPr>
      </w:pPr>
    </w:p>
    <w:p w14:paraId="495FDC71" w14:textId="7B361FB7" w:rsidR="003377AF" w:rsidRDefault="003377AF" w:rsidP="003377AF">
      <w:pPr>
        <w:spacing w:after="0" w:line="288" w:lineRule="auto"/>
        <w:rPr>
          <w:b/>
          <w:color w:val="A50021"/>
          <w:sz w:val="28"/>
          <w:szCs w:val="28"/>
        </w:rPr>
      </w:pPr>
    </w:p>
    <w:p w14:paraId="0FEE1F0D" w14:textId="65D19151" w:rsidR="003137F8" w:rsidRPr="00AD18A6" w:rsidRDefault="00AB6742" w:rsidP="00AB6742">
      <w:pPr>
        <w:spacing w:after="0" w:line="288" w:lineRule="auto"/>
        <w:jc w:val="center"/>
        <w:rPr>
          <w:b/>
          <w:color w:val="A50021"/>
          <w:sz w:val="28"/>
          <w:szCs w:val="28"/>
        </w:rPr>
      </w:pPr>
      <w:r w:rsidRPr="00AD18A6">
        <w:rPr>
          <w:b/>
          <w:color w:val="A50021"/>
          <w:sz w:val="28"/>
          <w:szCs w:val="28"/>
        </w:rPr>
        <w:t>L’attitude des Français vis-à-vis des déchets sauvages</w:t>
      </w:r>
    </w:p>
    <w:p w14:paraId="3D2A012D" w14:textId="77777777" w:rsidR="00B6554C" w:rsidRDefault="00B6554C" w:rsidP="00B6554C">
      <w:pPr>
        <w:spacing w:after="0" w:line="288" w:lineRule="auto"/>
        <w:jc w:val="both"/>
      </w:pPr>
    </w:p>
    <w:p w14:paraId="0F7BF1D1" w14:textId="77777777" w:rsidR="00F46987" w:rsidRDefault="00F46987" w:rsidP="008A7B95">
      <w:pPr>
        <w:spacing w:after="0" w:line="288" w:lineRule="auto"/>
        <w:jc w:val="both"/>
        <w:rPr>
          <w:b/>
          <w:bCs/>
          <w:sz w:val="24"/>
          <w:szCs w:val="24"/>
        </w:rPr>
      </w:pPr>
      <w:r w:rsidRPr="00AD18A6">
        <w:rPr>
          <w:b/>
          <w:bCs/>
          <w:sz w:val="24"/>
          <w:szCs w:val="24"/>
        </w:rPr>
        <w:t>Les déchets sauvages</w:t>
      </w:r>
      <w:r w:rsidR="008A12A2">
        <w:rPr>
          <w:b/>
          <w:bCs/>
          <w:sz w:val="24"/>
          <w:szCs w:val="24"/>
        </w:rPr>
        <w:t> : une problématique avant tout perçue sous l’angle de l’incivilité</w:t>
      </w:r>
    </w:p>
    <w:p w14:paraId="20F8A9EE" w14:textId="77777777" w:rsidR="008A12A2" w:rsidRDefault="008A12A2" w:rsidP="008A7B95">
      <w:pPr>
        <w:spacing w:after="0" w:line="288" w:lineRule="auto"/>
        <w:jc w:val="both"/>
        <w:rPr>
          <w:bCs/>
        </w:rPr>
      </w:pPr>
    </w:p>
    <w:p w14:paraId="7E9BE27A" w14:textId="77777777" w:rsidR="00A11438" w:rsidRDefault="00B6554C" w:rsidP="008A7B95">
      <w:pPr>
        <w:spacing w:after="0" w:line="288" w:lineRule="auto"/>
        <w:jc w:val="both"/>
      </w:pPr>
      <w:r w:rsidRPr="00B6554C">
        <w:rPr>
          <w:bCs/>
        </w:rPr>
        <w:t xml:space="preserve">Les déchets sauvages suscitent des </w:t>
      </w:r>
      <w:r>
        <w:rPr>
          <w:bCs/>
        </w:rPr>
        <w:t xml:space="preserve">jugements très négatifs, qui portent davantage sur l’acte en tant que tel </w:t>
      </w:r>
      <w:r w:rsidRPr="00B6554C">
        <w:rPr>
          <w:bCs/>
          <w:i/>
        </w:rPr>
        <w:t>(« celui de laisser ou jeter des déchets dans un endroit inapproprié »</w:t>
      </w:r>
      <w:r>
        <w:rPr>
          <w:bCs/>
        </w:rPr>
        <w:t xml:space="preserve">) que </w:t>
      </w:r>
      <w:r w:rsidRPr="00F83633">
        <w:rPr>
          <w:bCs/>
        </w:rPr>
        <w:t xml:space="preserve">sur les risques </w:t>
      </w:r>
      <w:r w:rsidRPr="00147B41">
        <w:rPr>
          <w:bCs/>
        </w:rPr>
        <w:t>écologiques afférents pour la planète et pour les hommes</w:t>
      </w:r>
      <w:r>
        <w:rPr>
          <w:bCs/>
        </w:rPr>
        <w:t>.</w:t>
      </w:r>
      <w:r w:rsidR="00A11438">
        <w:rPr>
          <w:bCs/>
        </w:rPr>
        <w:t xml:space="preserve"> </w:t>
      </w:r>
      <w:r w:rsidR="00F46987" w:rsidRPr="009E40C7">
        <w:t>La problématique des déchets sauvages est avant tout perç</w:t>
      </w:r>
      <w:r w:rsidR="00F46987">
        <w:t xml:space="preserve">ue sous l’angle de </w:t>
      </w:r>
      <w:r w:rsidR="00F46987" w:rsidRPr="008A3578">
        <w:t>l’incivilité,</w:t>
      </w:r>
      <w:r w:rsidR="00F46987">
        <w:t xml:space="preserve"> de </w:t>
      </w:r>
      <w:r w:rsidR="00F46987" w:rsidRPr="00F46987">
        <w:rPr>
          <w:b/>
        </w:rPr>
        <w:t xml:space="preserve">la </w:t>
      </w:r>
      <w:r w:rsidR="00F46987" w:rsidRPr="009E40C7">
        <w:rPr>
          <w:b/>
          <w:bCs/>
        </w:rPr>
        <w:t>transgression des règles du « bien vivre » ensemble</w:t>
      </w:r>
      <w:r w:rsidR="00F46987">
        <w:t xml:space="preserve">. </w:t>
      </w:r>
      <w:r w:rsidR="00A11438" w:rsidRPr="00B6554C">
        <w:t>A la question des mots q</w:t>
      </w:r>
      <w:r w:rsidR="008A12A2">
        <w:t>ue les interviewés</w:t>
      </w:r>
      <w:r w:rsidR="00A11438" w:rsidRPr="00B6554C">
        <w:t xml:space="preserve"> associent le plus aux déchets sauvages, il es</w:t>
      </w:r>
      <w:r w:rsidR="00A11438">
        <w:t>t intéressant d’observer que l</w:t>
      </w:r>
      <w:r w:rsidR="00A11438" w:rsidRPr="00B6554C">
        <w:t>es items ayant trait aux comportements des individus sont tout autant voire davantage choisis que ceux ayant trait aux impacts des déchets sauvages</w:t>
      </w:r>
      <w:r w:rsidR="00F46987">
        <w:t xml:space="preserve"> d’un point de vue environnemental</w:t>
      </w:r>
      <w:r w:rsidR="00A11438" w:rsidRPr="00B6554C">
        <w:t>.</w:t>
      </w:r>
    </w:p>
    <w:p w14:paraId="3D4C6C6A" w14:textId="77777777" w:rsidR="00A11438" w:rsidRDefault="00A11438" w:rsidP="008A7B95">
      <w:pPr>
        <w:spacing w:after="0" w:line="288" w:lineRule="auto"/>
        <w:jc w:val="both"/>
      </w:pPr>
    </w:p>
    <w:p w14:paraId="37E7EF5B" w14:textId="77777777" w:rsidR="002518FF" w:rsidRPr="00B94702" w:rsidRDefault="00FD58DC" w:rsidP="008A7B95">
      <w:pPr>
        <w:spacing w:after="0" w:line="288" w:lineRule="auto"/>
        <w:jc w:val="both"/>
        <w:rPr>
          <w:i/>
          <w:sz w:val="20"/>
          <w:szCs w:val="20"/>
        </w:rPr>
      </w:pPr>
      <w:r w:rsidRPr="00B94702">
        <w:rPr>
          <w:b/>
          <w:bCs/>
          <w:i/>
          <w:sz w:val="20"/>
          <w:szCs w:val="20"/>
        </w:rPr>
        <w:t xml:space="preserve">Question : </w:t>
      </w:r>
      <w:r w:rsidR="002518FF" w:rsidRPr="00B94702">
        <w:rPr>
          <w:b/>
          <w:bCs/>
          <w:i/>
          <w:sz w:val="20"/>
          <w:szCs w:val="20"/>
        </w:rPr>
        <w:t>Parmi la liste suivante, quels sont les deux mots que vous associez le plus aux déchets sauvages ? En premier ? En second ?</w:t>
      </w:r>
      <w:r w:rsidR="002518FF" w:rsidRPr="00B94702">
        <w:rPr>
          <w:i/>
          <w:sz w:val="20"/>
          <w:szCs w:val="20"/>
        </w:rPr>
        <w:t xml:space="preserve"> </w:t>
      </w:r>
    </w:p>
    <w:p w14:paraId="57D64F86" w14:textId="77777777" w:rsidR="00A11438" w:rsidRDefault="002518FF" w:rsidP="008A7B95">
      <w:pPr>
        <w:spacing w:after="0" w:line="288" w:lineRule="auto"/>
        <w:jc w:val="center"/>
      </w:pPr>
      <w:r>
        <w:rPr>
          <w:noProof/>
          <w:lang w:eastAsia="fr-FR"/>
        </w:rPr>
        <w:drawing>
          <wp:inline distT="0" distB="0" distL="0" distR="0" wp14:anchorId="764B0465" wp14:editId="36F4819D">
            <wp:extent cx="4013696" cy="2628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5190" cy="26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9CDF" w14:textId="77777777" w:rsidR="00B6554C" w:rsidRDefault="00B6554C" w:rsidP="008A7B95">
      <w:pPr>
        <w:spacing w:after="0" w:line="288" w:lineRule="auto"/>
        <w:jc w:val="both"/>
        <w:rPr>
          <w:b/>
          <w:bCs/>
        </w:rPr>
      </w:pPr>
    </w:p>
    <w:p w14:paraId="79500501" w14:textId="1920CA5E" w:rsidR="008A12A2" w:rsidRDefault="00BB5563" w:rsidP="00BB5563">
      <w:pPr>
        <w:spacing w:after="0" w:line="288" w:lineRule="auto"/>
        <w:jc w:val="both"/>
      </w:pPr>
      <w:r w:rsidRPr="00BB5563">
        <w:rPr>
          <w:b/>
          <w:bCs/>
        </w:rPr>
        <w:t>Au cœur du sentiment d’indignation, c’est</w:t>
      </w:r>
      <w:r w:rsidR="008A12A2">
        <w:rPr>
          <w:b/>
          <w:bCs/>
        </w:rPr>
        <w:t>, en effet,</w:t>
      </w:r>
      <w:r w:rsidRPr="00BB5563">
        <w:rPr>
          <w:b/>
          <w:bCs/>
        </w:rPr>
        <w:t xml:space="preserve"> davantage le </w:t>
      </w:r>
      <w:r w:rsidRPr="008A3578">
        <w:rPr>
          <w:b/>
          <w:bCs/>
        </w:rPr>
        <w:t>comportement du responsable du déchet sauvage</w:t>
      </w:r>
      <w:r w:rsidRPr="00BB5563">
        <w:rPr>
          <w:b/>
          <w:bCs/>
        </w:rPr>
        <w:t xml:space="preserve"> qui est pointé du doigt, que la répercussion de cet acte sur l’environnement. </w:t>
      </w:r>
      <w:r w:rsidRPr="00BB5563">
        <w:t>L’incompréhension face à ce comportement - qu’il soit conscient (49%</w:t>
      </w:r>
      <w:r w:rsidR="00830185">
        <w:t xml:space="preserve"> des personnes choquées par ces comportements</w:t>
      </w:r>
      <w:r w:rsidRPr="00BB5563">
        <w:t>) ou le fruit d’une négligence (22%) – et le fait qu’il soit interprété comme un manque de respect (46%) sont les premières raisons évoquées pour expliquer une telle réaction. Le fait que cela soit sale (15%), que cela gâche le cadre de vie (11%) ou qu’il y en ait de plus en plus (12%) voire trop</w:t>
      </w:r>
      <w:r w:rsidR="00830185">
        <w:t xml:space="preserve"> à certains moments de la journée</w:t>
      </w:r>
      <w:r w:rsidRPr="00BB5563">
        <w:t xml:space="preserve"> (3%) sont des justifications bien moins populaires. </w:t>
      </w:r>
      <w:r w:rsidR="008A12A2">
        <w:t xml:space="preserve">Autre élément intéressant, </w:t>
      </w:r>
      <w:r w:rsidR="008A12A2" w:rsidRPr="008A3578">
        <w:rPr>
          <w:b/>
          <w:bCs/>
        </w:rPr>
        <w:t>le consommateur final</w:t>
      </w:r>
      <w:r w:rsidR="008A12A2" w:rsidRPr="008A3578">
        <w:t xml:space="preserve"> </w:t>
      </w:r>
      <w:r w:rsidR="008A12A2" w:rsidRPr="008A3578">
        <w:rPr>
          <w:b/>
          <w:bCs/>
        </w:rPr>
        <w:t>est unanimement vu comme un des principaux responsables de la situation actuelle</w:t>
      </w:r>
      <w:r w:rsidR="008A12A2" w:rsidRPr="0042565C">
        <w:rPr>
          <w:b/>
          <w:bCs/>
        </w:rPr>
        <w:t xml:space="preserve"> </w:t>
      </w:r>
      <w:r w:rsidR="008A12A2" w:rsidRPr="0042565C">
        <w:t xml:space="preserve">(90% estiment que </w:t>
      </w:r>
      <w:r w:rsidR="008A12A2" w:rsidRPr="0042565C">
        <w:rPr>
          <w:i/>
          <w:iCs/>
        </w:rPr>
        <w:t>les responsables des déchets sauvages sont les consommateurs qui jettent leurs déchets</w:t>
      </w:r>
      <w:r w:rsidR="008A12A2" w:rsidRPr="0042565C">
        <w:t xml:space="preserve">), </w:t>
      </w:r>
      <w:r w:rsidR="008A12A2" w:rsidRPr="0042565C">
        <w:rPr>
          <w:b/>
          <w:bCs/>
        </w:rPr>
        <w:t xml:space="preserve">quand la responsabilité des industriels </w:t>
      </w:r>
      <w:r w:rsidR="008A12A2">
        <w:rPr>
          <w:b/>
          <w:bCs/>
        </w:rPr>
        <w:t xml:space="preserve">se trouve </w:t>
      </w:r>
      <w:r w:rsidR="008A12A2" w:rsidRPr="0042565C">
        <w:rPr>
          <w:b/>
          <w:bCs/>
        </w:rPr>
        <w:t xml:space="preserve">bien plus nuancée </w:t>
      </w:r>
      <w:r w:rsidR="008A12A2" w:rsidRPr="0042565C">
        <w:t xml:space="preserve">(57% jugent que </w:t>
      </w:r>
      <w:r w:rsidR="008A12A2" w:rsidRPr="0042565C">
        <w:rPr>
          <w:i/>
          <w:iCs/>
        </w:rPr>
        <w:t>les responsables des déchets sauvages sont les industriels qui fabriquent les produits qui deviennent ensuite des déchets</w:t>
      </w:r>
      <w:r w:rsidR="008A12A2" w:rsidRPr="0042565C">
        <w:t>).</w:t>
      </w:r>
    </w:p>
    <w:p w14:paraId="0DDCEA15" w14:textId="77777777" w:rsidR="008A12A2" w:rsidRDefault="008A12A2" w:rsidP="00BB5563">
      <w:pPr>
        <w:spacing w:after="0" w:line="288" w:lineRule="auto"/>
        <w:jc w:val="both"/>
      </w:pPr>
    </w:p>
    <w:p w14:paraId="6F0CDEB3" w14:textId="6A8A7F5A" w:rsidR="00070140" w:rsidRPr="00070140" w:rsidRDefault="00070140" w:rsidP="00070140">
      <w:pPr>
        <w:spacing w:after="0" w:line="288" w:lineRule="auto"/>
        <w:jc w:val="both"/>
      </w:pPr>
      <w:r>
        <w:t xml:space="preserve">Cette focalisation sur </w:t>
      </w:r>
      <w:r w:rsidRPr="008A3578">
        <w:t>le geste du « jeteur »</w:t>
      </w:r>
      <w:r>
        <w:t xml:space="preserve"> plus que sur l’impact des déchets sauvages sur l’environnement va de pair avec une réelle difficulté à évaluer le problème en France aujourd’hui. A la lecture des témoignages recueillis, force est de constater que </w:t>
      </w:r>
      <w:r w:rsidRPr="00584D00">
        <w:t xml:space="preserve">les déchets sauvages demeurent </w:t>
      </w:r>
      <w:r w:rsidRPr="00584D00">
        <w:rPr>
          <w:b/>
          <w:bCs/>
        </w:rPr>
        <w:t xml:space="preserve">un sujet </w:t>
      </w:r>
      <w:r w:rsidRPr="008A3578">
        <w:rPr>
          <w:b/>
          <w:bCs/>
        </w:rPr>
        <w:t>peu mobilisateur</w:t>
      </w:r>
      <w:r w:rsidRPr="00584D00">
        <w:rPr>
          <w:b/>
          <w:bCs/>
        </w:rPr>
        <w:t xml:space="preserve">, y compris chez les cibles plus informées </w:t>
      </w:r>
      <w:r>
        <w:rPr>
          <w:b/>
          <w:bCs/>
        </w:rPr>
        <w:t>sur</w:t>
      </w:r>
      <w:r w:rsidRPr="00584D00">
        <w:rPr>
          <w:b/>
          <w:bCs/>
        </w:rPr>
        <w:t xml:space="preserve"> leur capaci</w:t>
      </w:r>
      <w:r>
        <w:rPr>
          <w:b/>
          <w:bCs/>
        </w:rPr>
        <w:t xml:space="preserve">té de nuisance environnementale. </w:t>
      </w:r>
      <w:r w:rsidRPr="00584D00">
        <w:t xml:space="preserve">Il s’agit d’une </w:t>
      </w:r>
      <w:r w:rsidRPr="008A3578">
        <w:t xml:space="preserve">thématique qui semble n’être pas encore arrivée à maturité dans l’opinion : </w:t>
      </w:r>
      <w:r w:rsidRPr="008A3578">
        <w:rPr>
          <w:b/>
          <w:bCs/>
        </w:rPr>
        <w:t xml:space="preserve">peu présents à l’esprit, banalisés </w:t>
      </w:r>
      <w:r w:rsidRPr="008A3578">
        <w:t>dans les espaces urbains, les déchets sauvages peinent à être considérés comme un fléau</w:t>
      </w:r>
      <w:r w:rsidRPr="00584D00">
        <w:t>. Paradoxalement, le terme de « déchet sauvage » en lui-même (totalement absent du langage courant) peut induire un</w:t>
      </w:r>
      <w:r>
        <w:t>e mise à distance avec le sujet</w:t>
      </w:r>
      <w:r w:rsidRPr="00584D00">
        <w:t xml:space="preserve">. Mis en comparaison avec d’autres enjeux écologiques, plus anxiogènes et plus médiatisés, comme le réchauffement climatique ou la pollution de la planète, </w:t>
      </w:r>
      <w:r w:rsidRPr="00584D00">
        <w:rPr>
          <w:b/>
          <w:bCs/>
        </w:rPr>
        <w:t>l’enjeu des déchets sauvages apparait « m</w:t>
      </w:r>
      <w:r>
        <w:rPr>
          <w:b/>
          <w:bCs/>
        </w:rPr>
        <w:t xml:space="preserve">oins urgent ». </w:t>
      </w:r>
      <w:r w:rsidRPr="00070140">
        <w:t xml:space="preserve">En outre, </w:t>
      </w:r>
      <w:r w:rsidRPr="00070140">
        <w:rPr>
          <w:bCs/>
        </w:rPr>
        <w:t>la difficulté à mesurer l’ampleur du phénomène en France et</w:t>
      </w:r>
      <w:r w:rsidR="00264CEF">
        <w:rPr>
          <w:bCs/>
        </w:rPr>
        <w:t>,</w:t>
      </w:r>
      <w:r w:rsidRPr="00070140">
        <w:rPr>
          <w:bCs/>
        </w:rPr>
        <w:t xml:space="preserve"> au-delà, la méconnaissance des effets négatifs associés </w:t>
      </w:r>
      <w:r w:rsidR="0086694D">
        <w:rPr>
          <w:bCs/>
        </w:rPr>
        <w:t xml:space="preserve">aux </w:t>
      </w:r>
      <w:r w:rsidRPr="00070140">
        <w:rPr>
          <w:bCs/>
        </w:rPr>
        <w:t xml:space="preserve">types de déchets en général participe à la relativisation des enjeux autour de la problématique. </w:t>
      </w:r>
    </w:p>
    <w:p w14:paraId="5BC86645" w14:textId="77777777" w:rsidR="00070140" w:rsidRDefault="00070140" w:rsidP="00BB5563">
      <w:pPr>
        <w:spacing w:after="0" w:line="288" w:lineRule="auto"/>
        <w:jc w:val="both"/>
      </w:pPr>
    </w:p>
    <w:p w14:paraId="32085EFA" w14:textId="77777777" w:rsidR="008A7B95" w:rsidRPr="008A7B95" w:rsidRDefault="00B94702" w:rsidP="008A7B95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</w:t>
      </w:r>
      <w:r w:rsidR="008A7B95" w:rsidRPr="008A7B95">
        <w:rPr>
          <w:b/>
          <w:sz w:val="24"/>
          <w:szCs w:val="24"/>
        </w:rPr>
        <w:t xml:space="preserve"> déchets sauvages</w:t>
      </w:r>
      <w:r>
        <w:rPr>
          <w:b/>
          <w:sz w:val="24"/>
          <w:szCs w:val="24"/>
        </w:rPr>
        <w:t>, qui fon</w:t>
      </w:r>
      <w:r w:rsidR="008A7B95" w:rsidRPr="008A7B9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tous</w:t>
      </w:r>
      <w:r w:rsidR="008A7B95" w:rsidRPr="008A7B95">
        <w:rPr>
          <w:b/>
          <w:sz w:val="24"/>
          <w:szCs w:val="24"/>
        </w:rPr>
        <w:t xml:space="preserve"> l’objet d’un jugement impitoyable</w:t>
      </w:r>
      <w:r w:rsidR="0042565C">
        <w:rPr>
          <w:b/>
          <w:sz w:val="24"/>
          <w:szCs w:val="24"/>
        </w:rPr>
        <w:t>,</w:t>
      </w:r>
      <w:r w:rsidR="008A7B95" w:rsidRPr="008A7B95">
        <w:rPr>
          <w:b/>
          <w:sz w:val="24"/>
          <w:szCs w:val="24"/>
        </w:rPr>
        <w:t xml:space="preserve"> en particulier ceux pour lesquels il existe un dispositif de tri</w:t>
      </w:r>
    </w:p>
    <w:p w14:paraId="0630649B" w14:textId="77777777" w:rsidR="008A7B95" w:rsidRDefault="008A7B95" w:rsidP="008A7B95">
      <w:pPr>
        <w:spacing w:after="0" w:line="288" w:lineRule="auto"/>
        <w:jc w:val="both"/>
      </w:pPr>
    </w:p>
    <w:p w14:paraId="0990423D" w14:textId="77777777" w:rsidR="006F30D8" w:rsidRPr="00CF3475" w:rsidRDefault="00CF3475" w:rsidP="00CF3475">
      <w:pPr>
        <w:spacing w:after="0" w:line="288" w:lineRule="auto"/>
        <w:jc w:val="both"/>
      </w:pPr>
      <w:r>
        <w:t>I</w:t>
      </w:r>
      <w:r w:rsidR="00B85559" w:rsidRPr="00CF3475">
        <w:t>nvités à noter sur une échelle de 0 à 10</w:t>
      </w:r>
      <w:r>
        <w:rPr>
          <w:rStyle w:val="FootnoteReference"/>
        </w:rPr>
        <w:footnoteReference w:id="2"/>
      </w:r>
      <w:r w:rsidR="00B85559" w:rsidRPr="00CF3475">
        <w:t xml:space="preserve"> le niveau d’attention porté à la manière dont ils se débarrassent de leurs déchets, </w:t>
      </w:r>
      <w:r w:rsidR="00B85559" w:rsidRPr="00CF3475">
        <w:rPr>
          <w:b/>
          <w:bCs/>
        </w:rPr>
        <w:t xml:space="preserve">les interviewés semblent assez convaincus d’adopter les bonnes attitudes, </w:t>
      </w:r>
      <w:r w:rsidR="00B85559" w:rsidRPr="00CF3475">
        <w:t>tous les déchets recueillant des notes allant de 7,8/10 à 9,3/10. Plus précisément</w:t>
      </w:r>
      <w:r>
        <w:t> :</w:t>
      </w:r>
    </w:p>
    <w:p w14:paraId="7E49CCE9" w14:textId="77777777" w:rsidR="00CF3475" w:rsidRDefault="00CF3475" w:rsidP="00CF3475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Se trouvent au sommet l</w:t>
      </w:r>
      <w:r w:rsidR="00B85559" w:rsidRPr="00CF3475">
        <w:t xml:space="preserve">es déchets auxquels les Français sont les plus attentifs : les déchets qui font l’objet d’un tri, à savoir </w:t>
      </w:r>
      <w:r w:rsidR="00B85559" w:rsidRPr="00CF3475">
        <w:rPr>
          <w:i/>
          <w:iCs/>
        </w:rPr>
        <w:t>les bouteilles en verre</w:t>
      </w:r>
      <w:r w:rsidR="00B85559" w:rsidRPr="00CF3475">
        <w:t xml:space="preserve"> (9,3/10), </w:t>
      </w:r>
      <w:r w:rsidR="00B85559" w:rsidRPr="00CF3475">
        <w:rPr>
          <w:i/>
          <w:iCs/>
        </w:rPr>
        <w:t>les emballages de boissons</w:t>
      </w:r>
      <w:r w:rsidR="00B85559" w:rsidRPr="00CF3475">
        <w:t xml:space="preserve"> (9,3/10), </w:t>
      </w:r>
      <w:r w:rsidR="00B85559" w:rsidRPr="00CF3475">
        <w:rPr>
          <w:i/>
          <w:iCs/>
        </w:rPr>
        <w:t>les emballages en carton</w:t>
      </w:r>
      <w:r w:rsidR="00B85559" w:rsidRPr="00CF3475">
        <w:t xml:space="preserve"> (9,2/10), </w:t>
      </w:r>
      <w:r w:rsidR="00B85559" w:rsidRPr="00CF3475">
        <w:rPr>
          <w:i/>
          <w:iCs/>
        </w:rPr>
        <w:t>les sacs plastiques</w:t>
      </w:r>
      <w:r w:rsidR="00B85559" w:rsidRPr="00CF3475">
        <w:t xml:space="preserve"> (9,2/10), </w:t>
      </w:r>
      <w:r w:rsidR="00B85559" w:rsidRPr="00CF3475">
        <w:rPr>
          <w:i/>
          <w:iCs/>
        </w:rPr>
        <w:t>les emballages et restes de restauration rapide</w:t>
      </w:r>
      <w:r w:rsidR="00B85559" w:rsidRPr="00CF3475">
        <w:t xml:space="preserve"> (9,1/10) ;</w:t>
      </w:r>
    </w:p>
    <w:p w14:paraId="70471408" w14:textId="09AC6B43" w:rsidR="00CF3475" w:rsidRDefault="00B85559" w:rsidP="00CF3475">
      <w:pPr>
        <w:pStyle w:val="ListParagraph"/>
        <w:numPr>
          <w:ilvl w:val="0"/>
          <w:numId w:val="4"/>
        </w:numPr>
        <w:spacing w:after="0" w:line="288" w:lineRule="auto"/>
        <w:jc w:val="both"/>
      </w:pPr>
      <w:r w:rsidRPr="00CF3475">
        <w:rPr>
          <w:i/>
          <w:iCs/>
        </w:rPr>
        <w:t>Les déchets organiques</w:t>
      </w:r>
      <w:r w:rsidRPr="00CF3475">
        <w:t xml:space="preserve"> </w:t>
      </w:r>
      <w:r w:rsidR="00EF4F74">
        <w:t xml:space="preserve">(trognons de pomme, peaux de bananes) </w:t>
      </w:r>
      <w:r w:rsidRPr="00CF3475">
        <w:t>sont traités avec moins d’application (8,5/10), mais probablement car des interrogations subsistent quant au caractère répréhensible</w:t>
      </w:r>
      <w:r w:rsidR="00830185">
        <w:t xml:space="preserve"> (puisqu’ils sont biodégradables ?)</w:t>
      </w:r>
      <w:r w:rsidRPr="00CF3475">
        <w:t xml:space="preserve"> du dépôt sauvage de ces détritus (42% estiment que </w:t>
      </w:r>
      <w:r w:rsidRPr="00CF3475">
        <w:rPr>
          <w:i/>
          <w:iCs/>
        </w:rPr>
        <w:t xml:space="preserve">ce n’est pas grave de les abandonner </w:t>
      </w:r>
      <w:r w:rsidRPr="00CF3475">
        <w:t>VS 11% pour</w:t>
      </w:r>
      <w:r w:rsidRPr="00CF3475">
        <w:rPr>
          <w:i/>
          <w:iCs/>
        </w:rPr>
        <w:t xml:space="preserve"> les déchets plastiques biodégradables</w:t>
      </w:r>
      <w:r w:rsidR="00CF3475">
        <w:t>) ;</w:t>
      </w:r>
    </w:p>
    <w:p w14:paraId="71D86DD1" w14:textId="77777777" w:rsidR="006F30D8" w:rsidRPr="00CF3475" w:rsidRDefault="00B85559" w:rsidP="00CF3475">
      <w:pPr>
        <w:pStyle w:val="ListParagraph"/>
        <w:numPr>
          <w:ilvl w:val="0"/>
          <w:numId w:val="4"/>
        </w:numPr>
        <w:spacing w:after="0" w:line="288" w:lineRule="auto"/>
        <w:jc w:val="both"/>
      </w:pPr>
      <w:r w:rsidRPr="00CF3475">
        <w:t xml:space="preserve">En fin de classement, </w:t>
      </w:r>
      <w:r w:rsidR="00CF3475">
        <w:t xml:space="preserve">figurent </w:t>
      </w:r>
      <w:r w:rsidRPr="00CF3475">
        <w:t xml:space="preserve">les plus petits déchets, qui impliquent souvent un débarras urgent : </w:t>
      </w:r>
      <w:r w:rsidRPr="00CF3475">
        <w:rPr>
          <w:i/>
          <w:iCs/>
        </w:rPr>
        <w:t>les chewing-gums</w:t>
      </w:r>
      <w:r w:rsidRPr="00CF3475">
        <w:t xml:space="preserve"> (8,1/10) et </w:t>
      </w:r>
      <w:r w:rsidRPr="00CF3475">
        <w:rPr>
          <w:i/>
          <w:iCs/>
        </w:rPr>
        <w:t>les mégots</w:t>
      </w:r>
      <w:r w:rsidRPr="00CF3475">
        <w:t xml:space="preserve"> pour les fumeurs (7,8/10).</w:t>
      </w:r>
    </w:p>
    <w:p w14:paraId="16F9CEF5" w14:textId="77777777" w:rsidR="00CF3475" w:rsidRDefault="00CF3475" w:rsidP="00B6554C">
      <w:pPr>
        <w:spacing w:after="0" w:line="288" w:lineRule="auto"/>
        <w:jc w:val="both"/>
      </w:pPr>
    </w:p>
    <w:p w14:paraId="0885535E" w14:textId="77777777" w:rsidR="00CF3475" w:rsidRPr="004C456C" w:rsidRDefault="00CF3475" w:rsidP="00CF3475">
      <w:pPr>
        <w:spacing w:after="0" w:line="288" w:lineRule="auto"/>
        <w:jc w:val="both"/>
      </w:pPr>
      <w:r w:rsidRPr="004C456C">
        <w:rPr>
          <w:b/>
          <w:bCs/>
        </w:rPr>
        <w:t xml:space="preserve">L’évaluation du caractère choquant </w:t>
      </w:r>
      <w:r w:rsidR="00BB7EF3">
        <w:rPr>
          <w:b/>
          <w:bCs/>
        </w:rPr>
        <w:t>des différents types de déchets se trouve</w:t>
      </w:r>
      <w:r w:rsidRPr="004C456C">
        <w:rPr>
          <w:b/>
          <w:bCs/>
        </w:rPr>
        <w:t xml:space="preserve"> corrélée à l’attention portée </w:t>
      </w:r>
      <w:r>
        <w:rPr>
          <w:b/>
          <w:bCs/>
        </w:rPr>
        <w:t>personnellement</w:t>
      </w:r>
      <w:r w:rsidRPr="004C456C">
        <w:rPr>
          <w:b/>
          <w:bCs/>
        </w:rPr>
        <w:t xml:space="preserve"> à chacun des détritus. </w:t>
      </w:r>
      <w:r w:rsidRPr="004C456C">
        <w:t xml:space="preserve">On trouve ainsi les déchets auxquels </w:t>
      </w:r>
      <w:r w:rsidR="00BB7EF3">
        <w:t xml:space="preserve">nos interviewés déclarent faire </w:t>
      </w:r>
      <w:r w:rsidRPr="004C456C">
        <w:t>le plus attention en tête de liste des déchets sauvages les plus déplaisants (</w:t>
      </w:r>
      <w:r w:rsidRPr="004C456C">
        <w:rPr>
          <w:i/>
          <w:iCs/>
        </w:rPr>
        <w:t>les emballages et les restes de restauration rapide</w:t>
      </w:r>
      <w:r w:rsidRPr="004C456C">
        <w:t xml:space="preserve">, 92%, 69% estimant même cela très choquant ; </w:t>
      </w:r>
      <w:r w:rsidRPr="004C456C">
        <w:rPr>
          <w:i/>
          <w:iCs/>
        </w:rPr>
        <w:t>les bouteilles en verre</w:t>
      </w:r>
      <w:r w:rsidRPr="004C456C">
        <w:t xml:space="preserve">, 92%, 63% ; </w:t>
      </w:r>
      <w:r w:rsidRPr="004C456C">
        <w:rPr>
          <w:i/>
          <w:iCs/>
        </w:rPr>
        <w:t>les emballages de boissons</w:t>
      </w:r>
      <w:r w:rsidRPr="004C456C">
        <w:t xml:space="preserve">, 91%, 65% ; </w:t>
      </w:r>
      <w:r w:rsidRPr="004C456C">
        <w:rPr>
          <w:i/>
          <w:iCs/>
        </w:rPr>
        <w:t>les sacs plastiques</w:t>
      </w:r>
      <w:r w:rsidRPr="004C456C">
        <w:t>, 91%, 66%), et en fin de liste ceux pour lesquels la vigilance est moins élevée (</w:t>
      </w:r>
      <w:r w:rsidRPr="004C456C">
        <w:rPr>
          <w:i/>
          <w:iCs/>
        </w:rPr>
        <w:t>les mégots</w:t>
      </w:r>
      <w:r w:rsidRPr="004C456C">
        <w:t xml:space="preserve">, 79%, 52% ; </w:t>
      </w:r>
      <w:r w:rsidRPr="004C456C">
        <w:rPr>
          <w:i/>
          <w:iCs/>
        </w:rPr>
        <w:t>les chewing-gums</w:t>
      </w:r>
      <w:r w:rsidRPr="004C456C">
        <w:t>, 75%, 45%).</w:t>
      </w:r>
    </w:p>
    <w:p w14:paraId="43A7892D" w14:textId="77777777" w:rsidR="00BB7EF3" w:rsidRDefault="00BB7EF3" w:rsidP="00B6554C">
      <w:pPr>
        <w:spacing w:after="0" w:line="288" w:lineRule="auto"/>
        <w:jc w:val="both"/>
      </w:pPr>
    </w:p>
    <w:p w14:paraId="0D46510D" w14:textId="77777777" w:rsidR="004C456C" w:rsidRPr="00B94702" w:rsidRDefault="00FD58DC" w:rsidP="004C456C">
      <w:pPr>
        <w:spacing w:after="0" w:line="288" w:lineRule="auto"/>
        <w:jc w:val="both"/>
        <w:rPr>
          <w:i/>
          <w:sz w:val="20"/>
          <w:szCs w:val="20"/>
        </w:rPr>
      </w:pPr>
      <w:r w:rsidRPr="00B94702">
        <w:rPr>
          <w:b/>
          <w:bCs/>
          <w:i/>
          <w:sz w:val="20"/>
          <w:szCs w:val="20"/>
        </w:rPr>
        <w:t xml:space="preserve">Question : </w:t>
      </w:r>
      <w:r w:rsidR="004C456C" w:rsidRPr="00B94702">
        <w:rPr>
          <w:b/>
          <w:bCs/>
          <w:i/>
          <w:sz w:val="20"/>
          <w:szCs w:val="20"/>
        </w:rPr>
        <w:t>Plus particulièrement, lorsque vous voyez chacun des types de déchets suivants au sol ou laissés en dehors d’une poubelle, diriez-vous que vous trouvez cela très choquant, assez choquant, assez banal ou très banal ?</w:t>
      </w:r>
      <w:r w:rsidR="004C456C" w:rsidRPr="00B94702">
        <w:rPr>
          <w:i/>
          <w:sz w:val="20"/>
          <w:szCs w:val="20"/>
        </w:rPr>
        <w:t xml:space="preserve"> </w:t>
      </w:r>
    </w:p>
    <w:p w14:paraId="5DA0210F" w14:textId="77777777" w:rsidR="004C456C" w:rsidRDefault="004C456C" w:rsidP="00B6554C">
      <w:pPr>
        <w:spacing w:after="0" w:line="288" w:lineRule="auto"/>
        <w:jc w:val="both"/>
      </w:pPr>
    </w:p>
    <w:p w14:paraId="63212546" w14:textId="77777777" w:rsidR="007738BC" w:rsidRDefault="007738BC" w:rsidP="00B6554C">
      <w:pPr>
        <w:spacing w:after="0" w:line="288" w:lineRule="auto"/>
        <w:jc w:val="both"/>
      </w:pPr>
      <w:r>
        <w:rPr>
          <w:noProof/>
          <w:lang w:eastAsia="fr-FR"/>
        </w:rPr>
        <w:drawing>
          <wp:inline distT="0" distB="0" distL="0" distR="0" wp14:anchorId="5D1D45AA" wp14:editId="47067E99">
            <wp:extent cx="5589270" cy="302567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4510" cy="302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CCB1" w14:textId="77777777" w:rsidR="004C456C" w:rsidRDefault="004C456C" w:rsidP="00B6554C">
      <w:pPr>
        <w:spacing w:after="0" w:line="288" w:lineRule="auto"/>
        <w:jc w:val="both"/>
      </w:pPr>
    </w:p>
    <w:p w14:paraId="527C691B" w14:textId="29CBB6DE" w:rsidR="00BB7EF3" w:rsidRPr="009E40C7" w:rsidRDefault="00BB7EF3" w:rsidP="00BB7EF3">
      <w:pPr>
        <w:spacing w:after="0" w:line="288" w:lineRule="auto"/>
        <w:jc w:val="both"/>
      </w:pPr>
      <w:r>
        <w:t>En effet, c</w:t>
      </w:r>
      <w:r w:rsidRPr="009E40C7">
        <w:t xml:space="preserve">ertaines images, plus marquantes, suscitent une indignation </w:t>
      </w:r>
      <w:r>
        <w:t xml:space="preserve">particulièrement forte, comme </w:t>
      </w:r>
      <w:r>
        <w:rPr>
          <w:b/>
          <w:bCs/>
        </w:rPr>
        <w:t>l</w:t>
      </w:r>
      <w:r w:rsidRPr="009E40C7">
        <w:rPr>
          <w:b/>
          <w:bCs/>
        </w:rPr>
        <w:t>’amoncellement des déchets</w:t>
      </w:r>
      <w:r w:rsidRPr="009E40C7">
        <w:t xml:space="preserve"> dans la nature ou à proximité des poubelles, qui donnent un sentiment angoissant de perte de contrôle sur son environnement et d’une dégradation inévitable du cadre de vie</w:t>
      </w:r>
      <w:r>
        <w:t> :</w:t>
      </w:r>
      <w:r w:rsidRPr="009E40C7">
        <w:t xml:space="preserve"> </w:t>
      </w:r>
      <w:r w:rsidRPr="009E40C7">
        <w:rPr>
          <w:i/>
          <w:iCs/>
        </w:rPr>
        <w:t xml:space="preserve">« au bout du compte, on obtient une poubelle géante. » </w:t>
      </w:r>
      <w:r w:rsidRPr="009E40C7">
        <w:t xml:space="preserve">Certains matériaux suscitent plus de rejet que d’autres, c’est notamment le cas </w:t>
      </w:r>
      <w:r w:rsidRPr="009E40C7">
        <w:rPr>
          <w:b/>
          <w:bCs/>
        </w:rPr>
        <w:t>des objets en plastique</w:t>
      </w:r>
      <w:r w:rsidRPr="009E40C7">
        <w:t>, spontanément identifiés comme les plus problématiques, notamment dans les espaces naturels, en r</w:t>
      </w:r>
      <w:r>
        <w:t>aison de leur lente dégradation</w:t>
      </w:r>
      <w:r w:rsidRPr="009E40C7">
        <w:t xml:space="preserve">. </w:t>
      </w:r>
      <w:r w:rsidRPr="009E40C7">
        <w:rPr>
          <w:b/>
          <w:bCs/>
        </w:rPr>
        <w:t>Les emballages alimentaires</w:t>
      </w:r>
      <w:r w:rsidRPr="009E40C7">
        <w:t xml:space="preserve">, qu’ils soient en plastique ou en carton (barquettes fast-food, cannettes) mais aussi </w:t>
      </w:r>
      <w:r w:rsidRPr="009E40C7">
        <w:rPr>
          <w:b/>
          <w:bCs/>
        </w:rPr>
        <w:t>les (sur)emballages produits – au premier rang desquels figurent les colis</w:t>
      </w:r>
      <w:r w:rsidR="001A6E4A">
        <w:rPr>
          <w:b/>
          <w:bCs/>
        </w:rPr>
        <w:t xml:space="preserve"> de type </w:t>
      </w:r>
      <w:r w:rsidRPr="009E40C7">
        <w:rPr>
          <w:b/>
          <w:bCs/>
        </w:rPr>
        <w:t xml:space="preserve">Amazon – </w:t>
      </w:r>
      <w:r w:rsidRPr="009E40C7">
        <w:t xml:space="preserve">symbolisent tous les excès : en trop grand nombre et à usage unique, ils sont particulièrement polluants. </w:t>
      </w:r>
      <w:r w:rsidRPr="009E40C7">
        <w:rPr>
          <w:b/>
          <w:bCs/>
        </w:rPr>
        <w:t>Les</w:t>
      </w:r>
      <w:r>
        <w:rPr>
          <w:b/>
          <w:bCs/>
        </w:rPr>
        <w:t xml:space="preserve"> « </w:t>
      </w:r>
      <w:r w:rsidRPr="009E40C7">
        <w:rPr>
          <w:b/>
          <w:bCs/>
        </w:rPr>
        <w:t>nouveaux déchets » liés à la pandémie</w:t>
      </w:r>
      <w:r w:rsidRPr="009E40C7">
        <w:t>, comme les masques, sont particulièrement réprimés pour le risque qu’ils font courir aux personnes qui ramassent (</w:t>
      </w:r>
      <w:r w:rsidRPr="009E40C7">
        <w:rPr>
          <w:i/>
          <w:iCs/>
        </w:rPr>
        <w:t>« on jette son virus »</w:t>
      </w:r>
      <w:r w:rsidRPr="009E40C7">
        <w:t xml:space="preserve">) mais aussi pour leur impact sur l’environnement (en raison de leur composante en plastique). </w:t>
      </w:r>
    </w:p>
    <w:p w14:paraId="09D9239A" w14:textId="77777777" w:rsidR="004C456C" w:rsidRDefault="004C456C" w:rsidP="00B6554C">
      <w:pPr>
        <w:spacing w:after="0" w:line="288" w:lineRule="auto"/>
        <w:jc w:val="both"/>
      </w:pPr>
    </w:p>
    <w:p w14:paraId="6A3788E9" w14:textId="77777777" w:rsidR="009953D0" w:rsidRPr="008A7B95" w:rsidRDefault="009953D0" w:rsidP="00505138">
      <w:pPr>
        <w:spacing w:after="0" w:line="288" w:lineRule="auto"/>
        <w:jc w:val="both"/>
        <w:rPr>
          <w:b/>
          <w:sz w:val="24"/>
          <w:szCs w:val="24"/>
        </w:rPr>
      </w:pPr>
      <w:r w:rsidRPr="008A3578">
        <w:rPr>
          <w:b/>
          <w:sz w:val="24"/>
          <w:szCs w:val="24"/>
        </w:rPr>
        <w:t>Un quart des Français concède tout de même avoir déjà laissé tomber un déchet par terre sans l’avoir ramassé (27%)</w:t>
      </w:r>
    </w:p>
    <w:p w14:paraId="6F8C34CC" w14:textId="77777777" w:rsidR="009953D0" w:rsidRDefault="009953D0" w:rsidP="00505138">
      <w:pPr>
        <w:spacing w:after="0" w:line="288" w:lineRule="auto"/>
        <w:jc w:val="both"/>
      </w:pPr>
    </w:p>
    <w:p w14:paraId="70D2745C" w14:textId="22D0CD69" w:rsidR="00505138" w:rsidRDefault="00EF4F74" w:rsidP="00505138">
      <w:pPr>
        <w:spacing w:after="0" w:line="288" w:lineRule="auto"/>
        <w:jc w:val="both"/>
      </w:pPr>
      <w:r w:rsidRPr="00505138">
        <w:rPr>
          <w:b/>
        </w:rPr>
        <w:t>Bien que minoritaire</w:t>
      </w:r>
      <w:r w:rsidR="00830185">
        <w:rPr>
          <w:b/>
        </w:rPr>
        <w:t xml:space="preserve"> dans les déclarations</w:t>
      </w:r>
      <w:r w:rsidRPr="00505138">
        <w:rPr>
          <w:b/>
        </w:rPr>
        <w:t>, la proportion de répondants avouant avoir déjà laissé un déchet au sol sans le ramasser (27%) s’avère, transposée en nombre de Français, considérable</w:t>
      </w:r>
      <w:r>
        <w:t>. De même, ils sont 19% à avouer avoir jeté un déchet par terre parce qu’il n’y avait pas de poubelles adéquates.</w:t>
      </w:r>
    </w:p>
    <w:p w14:paraId="54C6F02C" w14:textId="29060A62" w:rsidR="00505138" w:rsidRDefault="00505138" w:rsidP="00505138">
      <w:pPr>
        <w:spacing w:after="0" w:line="288" w:lineRule="auto"/>
        <w:jc w:val="both"/>
      </w:pPr>
    </w:p>
    <w:p w14:paraId="67C90E5E" w14:textId="273911E7" w:rsidR="00B066D8" w:rsidRDefault="00B066D8" w:rsidP="00505138">
      <w:pPr>
        <w:spacing w:after="0" w:line="288" w:lineRule="auto"/>
        <w:jc w:val="both"/>
      </w:pPr>
    </w:p>
    <w:p w14:paraId="53709805" w14:textId="77777777" w:rsidR="00B066D8" w:rsidRDefault="00B066D8" w:rsidP="00505138">
      <w:pPr>
        <w:spacing w:after="0" w:line="288" w:lineRule="auto"/>
        <w:jc w:val="both"/>
      </w:pPr>
    </w:p>
    <w:p w14:paraId="6EF8A079" w14:textId="77777777" w:rsidR="00505138" w:rsidRDefault="00505138" w:rsidP="00505138">
      <w:pPr>
        <w:spacing w:after="0" w:line="288" w:lineRule="auto"/>
        <w:jc w:val="both"/>
      </w:pPr>
      <w:r>
        <w:t>Les témoignages recueillis apportent quelques éclairages : d</w:t>
      </w:r>
      <w:r w:rsidRPr="00584D00">
        <w:t xml:space="preserve">ans l’ensemble, le geste du jeteur est toujours analysé en fonction des dispositifs de collecte à sa portée, et d’autant plus toléré en cas de déficit de ces derniers. </w:t>
      </w:r>
      <w:r w:rsidRPr="00584D00">
        <w:rPr>
          <w:b/>
          <w:bCs/>
        </w:rPr>
        <w:t>Les petits déchets et les déchets sauvages urbains sont</w:t>
      </w:r>
      <w:r>
        <w:rPr>
          <w:b/>
          <w:bCs/>
        </w:rPr>
        <w:t xml:space="preserve"> parmi</w:t>
      </w:r>
      <w:r w:rsidRPr="00584D00">
        <w:rPr>
          <w:b/>
          <w:bCs/>
        </w:rPr>
        <w:t xml:space="preserve"> les mieux tolérés du fait</w:t>
      </w:r>
      <w:r>
        <w:rPr>
          <w:b/>
          <w:bCs/>
        </w:rPr>
        <w:t>, soit</w:t>
      </w:r>
      <w:r w:rsidRPr="00584D00">
        <w:rPr>
          <w:b/>
          <w:bCs/>
        </w:rPr>
        <w:t xml:space="preserve"> de leur faible impact supposé </w:t>
      </w:r>
      <w:r w:rsidRPr="00584D00">
        <w:t>(comme les mégots),</w:t>
      </w:r>
      <w:r>
        <w:t xml:space="preserve"> soit de</w:t>
      </w:r>
      <w:r w:rsidRPr="00584D00">
        <w:t xml:space="preserve"> </w:t>
      </w:r>
      <w:r w:rsidRPr="00584D00">
        <w:rPr>
          <w:b/>
          <w:bCs/>
        </w:rPr>
        <w:t xml:space="preserve">la réassurance d’une collecte par les équipes municipales </w:t>
      </w:r>
      <w:r w:rsidRPr="00584D00">
        <w:t>(sans que le coût financier ou humain so</w:t>
      </w:r>
      <w:r>
        <w:t>it vraiment présent à l’esprit). Mais</w:t>
      </w:r>
      <w:r w:rsidRPr="00584D00">
        <w:t xml:space="preserve"> aussi</w:t>
      </w:r>
      <w:r>
        <w:t>,</w:t>
      </w:r>
      <w:r w:rsidRPr="00584D00">
        <w:t xml:space="preserve"> parce que la plupart a une conscience spontanée de ces déchets </w:t>
      </w:r>
      <w:r w:rsidRPr="00584D00">
        <w:rPr>
          <w:b/>
          <w:bCs/>
        </w:rPr>
        <w:t>pris « isolément »</w:t>
      </w:r>
      <w:r>
        <w:t>, sans mesurer l’ampleur de la situation globale (leur mégot vs ceux de nombreux fumeurs).</w:t>
      </w:r>
    </w:p>
    <w:p w14:paraId="53312FA7" w14:textId="77777777" w:rsidR="00505138" w:rsidRDefault="00505138" w:rsidP="00505138">
      <w:pPr>
        <w:spacing w:after="0" w:line="288" w:lineRule="auto"/>
        <w:jc w:val="both"/>
      </w:pPr>
    </w:p>
    <w:p w14:paraId="20FDF083" w14:textId="3F64E938" w:rsidR="00505138" w:rsidRPr="00584D00" w:rsidRDefault="00505138" w:rsidP="00505138">
      <w:pPr>
        <w:spacing w:after="0" w:line="288" w:lineRule="auto"/>
        <w:jc w:val="both"/>
      </w:pPr>
      <w:r>
        <w:t xml:space="preserve">Les « jeteurs » interrogés attribuent le plus souvent leur </w:t>
      </w:r>
      <w:r w:rsidRPr="00584D00">
        <w:t xml:space="preserve">geste </w:t>
      </w:r>
      <w:r>
        <w:t>à une forme de négligence (le</w:t>
      </w:r>
      <w:r w:rsidRPr="00584D00">
        <w:t xml:space="preserve"> papier qui tombe de la poche</w:t>
      </w:r>
      <w:r>
        <w:t>, le</w:t>
      </w:r>
      <w:r w:rsidRPr="00584D00">
        <w:t xml:space="preserve"> mégot jeté par terre machinalement</w:t>
      </w:r>
      <w:r>
        <w:t>)</w:t>
      </w:r>
      <w:r w:rsidRPr="00584D00">
        <w:t>,</w:t>
      </w:r>
      <w:r>
        <w:t xml:space="preserve"> mais aussi à une certaine </w:t>
      </w:r>
      <w:r w:rsidRPr="008A3578">
        <w:rPr>
          <w:b/>
        </w:rPr>
        <w:t>m</w:t>
      </w:r>
      <w:r w:rsidRPr="008A3578">
        <w:rPr>
          <w:b/>
          <w:bCs/>
        </w:rPr>
        <w:t>éconnaissance</w:t>
      </w:r>
      <w:r w:rsidRPr="008A3578">
        <w:t xml:space="preserve"> des conséquences,</w:t>
      </w:r>
      <w:r w:rsidRPr="00584D00">
        <w:t xml:space="preserve"> notamment pour les déchets non-biodégradables, </w:t>
      </w:r>
      <w:r>
        <w:t xml:space="preserve">quand ils ne pointent pas du doigt la </w:t>
      </w:r>
      <w:r w:rsidRPr="00584D00">
        <w:rPr>
          <w:b/>
          <w:bCs/>
        </w:rPr>
        <w:t xml:space="preserve">défaillance des points de collecte et de ramassage </w:t>
      </w:r>
      <w:r w:rsidRPr="00584D00">
        <w:t>(manque de poubelles avoisinantes ou de dispositif adapté). La responsabilité est alors partagée avec les collecteurs et les acteurs politiques (</w:t>
      </w:r>
      <w:r>
        <w:t xml:space="preserve">au niveaux </w:t>
      </w:r>
      <w:r w:rsidRPr="00584D00">
        <w:t>national et local)</w:t>
      </w:r>
      <w:r>
        <w:t>.</w:t>
      </w:r>
    </w:p>
    <w:p w14:paraId="49009912" w14:textId="77777777" w:rsidR="00505138" w:rsidRDefault="00505138" w:rsidP="00505138">
      <w:pPr>
        <w:spacing w:after="0" w:line="288" w:lineRule="auto"/>
        <w:jc w:val="both"/>
      </w:pPr>
    </w:p>
    <w:p w14:paraId="36FD2C52" w14:textId="2184CE23" w:rsidR="00505138" w:rsidRPr="008A7B95" w:rsidRDefault="00B94702" w:rsidP="00505138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appel majoritaire à plus de sanctions… mais des mesures coercitives qu’on imagine peu efficace</w:t>
      </w:r>
      <w:r w:rsidR="008301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sans accompagnement pédagogique</w:t>
      </w:r>
      <w:r w:rsidR="00B066D8">
        <w:rPr>
          <w:b/>
          <w:sz w:val="24"/>
          <w:szCs w:val="24"/>
        </w:rPr>
        <w:t>.</w:t>
      </w:r>
    </w:p>
    <w:p w14:paraId="299A0508" w14:textId="77777777" w:rsidR="00505138" w:rsidRPr="006351A4" w:rsidRDefault="00505138" w:rsidP="006351A4">
      <w:pPr>
        <w:spacing w:after="0" w:line="288" w:lineRule="auto"/>
        <w:jc w:val="both"/>
      </w:pPr>
    </w:p>
    <w:p w14:paraId="14BFC313" w14:textId="77777777" w:rsidR="006351A4" w:rsidRPr="006351A4" w:rsidRDefault="006351A4" w:rsidP="006351A4">
      <w:pPr>
        <w:spacing w:after="0" w:line="288" w:lineRule="auto"/>
        <w:jc w:val="both"/>
      </w:pPr>
      <w:r w:rsidRPr="006351A4">
        <w:t xml:space="preserve">L’absence de contrôles et de sanctions, couplée à l’anonymat du geste, ouvre la porte à tous les abus. </w:t>
      </w:r>
      <w:r w:rsidRPr="008A3578">
        <w:rPr>
          <w:b/>
          <w:bCs/>
        </w:rPr>
        <w:t>La certitude d’échapper à la sanction et, au-delà, au regard désapprobateur</w:t>
      </w:r>
      <w:r w:rsidRPr="006351A4">
        <w:rPr>
          <w:b/>
          <w:bCs/>
        </w:rPr>
        <w:t xml:space="preserve"> de l’autre, crée un contexte propice aux déchets sauvages. </w:t>
      </w:r>
      <w:r w:rsidRPr="006351A4">
        <w:t xml:space="preserve">Ainsi, les lieux peu fréquentés (essentiellement compris comme les lieux naturels) représentent des contextes très favorables aux déchets sauvages : plus on </w:t>
      </w:r>
      <w:r w:rsidRPr="008A3578">
        <w:t>est sûr de ne pas être vu</w:t>
      </w:r>
      <w:r w:rsidRPr="006351A4">
        <w:t xml:space="preserve">, d’échapper au regard désapprobateur de l’autre, mais aussi aux sanctions, plus on jette ses déchets. Néanmoins, </w:t>
      </w:r>
      <w:r w:rsidRPr="006351A4">
        <w:rPr>
          <w:b/>
          <w:bCs/>
        </w:rPr>
        <w:t xml:space="preserve">l’effet du </w:t>
      </w:r>
      <w:r w:rsidRPr="008A3578">
        <w:rPr>
          <w:b/>
          <w:bCs/>
        </w:rPr>
        <w:t>contrôle social</w:t>
      </w:r>
      <w:r w:rsidRPr="006351A4">
        <w:rPr>
          <w:b/>
          <w:bCs/>
        </w:rPr>
        <w:t xml:space="preserve"> a tendan</w:t>
      </w:r>
      <w:r>
        <w:rPr>
          <w:b/>
          <w:bCs/>
        </w:rPr>
        <w:t xml:space="preserve">ce à diminuer selon le contexte. </w:t>
      </w:r>
      <w:r>
        <w:rPr>
          <w:bCs/>
        </w:rPr>
        <w:t>Ainsi, d</w:t>
      </w:r>
      <w:r w:rsidRPr="006351A4">
        <w:t>ans les grandes agglomérations</w:t>
      </w:r>
      <w:r>
        <w:t xml:space="preserve">, </w:t>
      </w:r>
      <w:r w:rsidRPr="006351A4">
        <w:t xml:space="preserve">le geste </w:t>
      </w:r>
      <w:r>
        <w:t xml:space="preserve">peut se trouver </w:t>
      </w:r>
      <w:r w:rsidRPr="006351A4">
        <w:t>finalement banalisé en raison de la grande fr</w:t>
      </w:r>
      <w:r>
        <w:t xml:space="preserve">équence des « petits déchets ». </w:t>
      </w:r>
      <w:r w:rsidRPr="006351A4">
        <w:t>D</w:t>
      </w:r>
      <w:r>
        <w:t>e même, d</w:t>
      </w:r>
      <w:r w:rsidRPr="006351A4">
        <w:t>ans les lieux très fréquentés qui favorisent l’anonymat, comme les lieux touristiques ou les festivals</w:t>
      </w:r>
      <w:r>
        <w:t xml:space="preserve">, </w:t>
      </w:r>
      <w:r w:rsidRPr="006351A4">
        <w:t xml:space="preserve">la dilution de la responsabilité individuelle est plus importante : </w:t>
      </w:r>
      <w:r w:rsidRPr="008A3578">
        <w:t>plus il y a de monde autour de soi, moins on fait attention à son geste…</w:t>
      </w:r>
      <w:r w:rsidRPr="006351A4">
        <w:t xml:space="preserve"> et plus il y a de monde, plus on a la certitude que les déchets seront ramassés ensuite par les dispositifs de collecte ! </w:t>
      </w:r>
    </w:p>
    <w:p w14:paraId="1BAB681A" w14:textId="77777777" w:rsidR="006351A4" w:rsidRDefault="006351A4" w:rsidP="00B6554C">
      <w:pPr>
        <w:spacing w:after="0" w:line="288" w:lineRule="auto"/>
        <w:jc w:val="both"/>
      </w:pPr>
    </w:p>
    <w:p w14:paraId="19C569C4" w14:textId="28B61125" w:rsidR="0075370A" w:rsidRPr="0075370A" w:rsidRDefault="0075370A" w:rsidP="00D95F8C">
      <w:pPr>
        <w:spacing w:after="0" w:line="288" w:lineRule="auto"/>
        <w:jc w:val="both"/>
      </w:pPr>
      <w:r w:rsidRPr="0075370A">
        <w:t>A la question « quelles seraient, selon vous, toutes les solutions imaginables pour encourager les gens à porter davantage d’attention à la façon dont ils se débarrassent de leurs déchets en dehors de chez eux ? » les citations spontanées des Français sont en effet sans appel :</w:t>
      </w:r>
      <w:r w:rsidRPr="0075370A">
        <w:rPr>
          <w:b/>
          <w:bCs/>
        </w:rPr>
        <w:t xml:space="preserve"> la moitié propose des sanctions à l’encontre des jeteurs (54%), le plus souvent au travers d’amendes (38%) et bien moins via des travaux d’intérêt général (3%). </w:t>
      </w:r>
      <w:r w:rsidRPr="0075370A">
        <w:t>Ils sont deux fois moins nombreux à suggérer des mesures éducatives et de sensibilis</w:t>
      </w:r>
      <w:r w:rsidR="00830185">
        <w:t>ation</w:t>
      </w:r>
      <w:r w:rsidRPr="0075370A">
        <w:t xml:space="preserve"> au sujet (23%)</w:t>
      </w:r>
      <w:r w:rsidR="00830185">
        <w:t xml:space="preserve"> ou une optimisation des dispositifs de collecte (23%)</w:t>
      </w:r>
      <w:r w:rsidRPr="0075370A">
        <w:t xml:space="preserve">. </w:t>
      </w:r>
    </w:p>
    <w:p w14:paraId="45774025" w14:textId="77777777" w:rsidR="0075370A" w:rsidRDefault="0075370A" w:rsidP="00D95F8C">
      <w:pPr>
        <w:spacing w:after="0" w:line="288" w:lineRule="auto"/>
        <w:jc w:val="both"/>
      </w:pPr>
    </w:p>
    <w:p w14:paraId="765EC6BF" w14:textId="61A2C02A" w:rsidR="00DA5BB8" w:rsidRPr="00DA5BB8" w:rsidRDefault="00D95F8C" w:rsidP="00DA5BB8">
      <w:pPr>
        <w:spacing w:line="288" w:lineRule="auto"/>
        <w:jc w:val="both"/>
        <w:rPr>
          <w:iCs/>
        </w:rPr>
      </w:pPr>
      <w:r w:rsidRPr="00584D00">
        <w:t>Si la sanction apparaît</w:t>
      </w:r>
      <w:r w:rsidR="009A2329">
        <w:t xml:space="preserve"> comme un vecteur</w:t>
      </w:r>
      <w:r w:rsidRPr="00584D00">
        <w:t xml:space="preserve"> incontournable (</w:t>
      </w:r>
      <w:r w:rsidRPr="00584D00">
        <w:rPr>
          <w:i/>
          <w:iCs/>
        </w:rPr>
        <w:t>« c’est malheureusement un moyen efficace »</w:t>
      </w:r>
      <w:r w:rsidRPr="00584D00">
        <w:t xml:space="preserve">), s’exprime </w:t>
      </w:r>
      <w:r w:rsidRPr="00584D00">
        <w:rPr>
          <w:b/>
          <w:bCs/>
        </w:rPr>
        <w:t xml:space="preserve">une certaine usure vis-à-vis de </w:t>
      </w:r>
      <w:r w:rsidRPr="009A2329">
        <w:rPr>
          <w:b/>
          <w:bCs/>
        </w:rPr>
        <w:t>ce levier</w:t>
      </w:r>
      <w:r w:rsidRPr="00584D00">
        <w:t>. D’autant que le cadre normatif en France est suffisamment complexe. En effet, la sanction n’a de sens que si elle s’accompagne d’</w:t>
      </w:r>
      <w:r w:rsidRPr="00584D00">
        <w:rPr>
          <w:b/>
          <w:bCs/>
        </w:rPr>
        <w:t>une visée pédagogique</w:t>
      </w:r>
      <w:r>
        <w:t>, comme f</w:t>
      </w:r>
      <w:r w:rsidRPr="00584D00">
        <w:t>aire prendre conscience au jeteur de la gravité de son acte, qui ne va pas de soi pour certains déchets (</w:t>
      </w:r>
      <w:r w:rsidR="009A2329">
        <w:t>à l’instar d</w:t>
      </w:r>
      <w:r w:rsidRPr="00584D00">
        <w:t>es déchets organiques</w:t>
      </w:r>
      <w:r w:rsidR="009A2329">
        <w:t>,</w:t>
      </w:r>
      <w:r w:rsidRPr="00584D00">
        <w:t xml:space="preserve"> pa</w:t>
      </w:r>
      <w:r>
        <w:t>r exemple)</w:t>
      </w:r>
      <w:r w:rsidRPr="00584D00">
        <w:t xml:space="preserve"> </w:t>
      </w:r>
      <w:r>
        <w:t>e</w:t>
      </w:r>
      <w:r w:rsidRPr="00584D00">
        <w:t xml:space="preserve">t au-delà, des conséquences sociétales (dégradation de l’espace urbain ou rural) et environnementales (impact sur la nature, les animaux, les eaux usées). Sans accompagnement, la sanction « pure » – les radars fixes sur les routes sont cités en exemple – peut avoir </w:t>
      </w:r>
      <w:r w:rsidRPr="00584D00">
        <w:rPr>
          <w:b/>
          <w:bCs/>
        </w:rPr>
        <w:t xml:space="preserve">un effet contre-productif </w:t>
      </w:r>
      <w:r w:rsidRPr="00584D00">
        <w:t xml:space="preserve">(jeter à l’abri des contrôles, payer l’amende et recommencer). </w:t>
      </w:r>
      <w:r w:rsidR="00B94702">
        <w:t xml:space="preserve">Domine </w:t>
      </w:r>
      <w:r w:rsidR="004F0934">
        <w:t>parmi l</w:t>
      </w:r>
      <w:r w:rsidR="00B94702">
        <w:t>es échanges</w:t>
      </w:r>
      <w:r w:rsidR="00F836C7">
        <w:t xml:space="preserve"> et témoignages recueillis,</w:t>
      </w:r>
      <w:r w:rsidR="00B94702">
        <w:t xml:space="preserve"> la nécessité de constituer aussi un socle de connaissance sur les conséquences négatives associées aux gestes des jeteurs, d’un point de vue environnemental et sanitaire. Au-delà, le besoin de déconstruire le présupposé selon lequel les gestes – parfois perçus comme anodins quand il s’agit de petits déchets – ont peu d’impact sur l’environnement est important, avec l’idée de </w:t>
      </w:r>
      <w:r w:rsidR="00A46D58">
        <w:t xml:space="preserve">continuer à </w:t>
      </w:r>
      <w:r w:rsidR="00B94702">
        <w:t xml:space="preserve">convaincre au contraire sur l’idée que </w:t>
      </w:r>
      <w:r w:rsidR="00B94702" w:rsidRPr="008A3578">
        <w:rPr>
          <w:i/>
        </w:rPr>
        <w:t>« chaque geste compte ».</w:t>
      </w:r>
      <w:r w:rsidR="00DA5BB8">
        <w:rPr>
          <w:i/>
        </w:rPr>
        <w:t xml:space="preserve"> </w:t>
      </w:r>
      <w:r w:rsidR="00DA5BB8" w:rsidRPr="00DA5BB8">
        <w:rPr>
          <w:iCs/>
        </w:rPr>
        <w:t>Puisque</w:t>
      </w:r>
      <w:r w:rsidR="00DA5BB8">
        <w:rPr>
          <w:iCs/>
        </w:rPr>
        <w:t xml:space="preserve"> la quasi-totalité des Français </w:t>
      </w:r>
      <w:r w:rsidR="004A1311">
        <w:rPr>
          <w:iCs/>
        </w:rPr>
        <w:t xml:space="preserve">en sont persuadés (96% sont d’accord avec l’affirmation </w:t>
      </w:r>
      <w:r w:rsidR="00DA5BB8" w:rsidRPr="008A3578">
        <w:rPr>
          <w:iCs/>
        </w:rPr>
        <w:t>« </w:t>
      </w:r>
      <w:r w:rsidR="00DA5BB8" w:rsidRPr="008A3578">
        <w:rPr>
          <w:i/>
        </w:rPr>
        <w:t>en matière de déchets, tous les petits gestes sont</w:t>
      </w:r>
      <w:r w:rsidR="00DA5BB8" w:rsidRPr="008A3578">
        <w:rPr>
          <w:b/>
          <w:bCs/>
          <w:i/>
        </w:rPr>
        <w:t xml:space="preserve"> </w:t>
      </w:r>
      <w:r w:rsidR="00DA5BB8" w:rsidRPr="008A3578">
        <w:rPr>
          <w:i/>
        </w:rPr>
        <w:t>importants</w:t>
      </w:r>
      <w:r w:rsidR="004A1311" w:rsidRPr="008A3578">
        <w:rPr>
          <w:iCs/>
        </w:rPr>
        <w:t> »,</w:t>
      </w:r>
      <w:r w:rsidR="004A1311">
        <w:rPr>
          <w:iCs/>
        </w:rPr>
        <w:t xml:space="preserve"> dont 75% de « tout à fait d’accord »), il reste </w:t>
      </w:r>
      <w:r w:rsidR="004A1311" w:rsidRPr="008A3578">
        <w:rPr>
          <w:iCs/>
        </w:rPr>
        <w:t xml:space="preserve">à </w:t>
      </w:r>
      <w:r w:rsidR="00646E6A" w:rsidRPr="008A3578">
        <w:rPr>
          <w:iCs/>
        </w:rPr>
        <w:t>faire comprendre et faire connaître le circuit du déchet</w:t>
      </w:r>
      <w:r w:rsidR="00646E6A">
        <w:rPr>
          <w:iCs/>
        </w:rPr>
        <w:t xml:space="preserve"> – chaque type de déchet, y compris les plus petits – dès lors que la main l’abandonne.</w:t>
      </w:r>
    </w:p>
    <w:p w14:paraId="0AE4B146" w14:textId="2CFB7730" w:rsidR="00D95F8C" w:rsidRDefault="00D95F8C" w:rsidP="00D95F8C">
      <w:pPr>
        <w:spacing w:after="0" w:line="288" w:lineRule="auto"/>
        <w:jc w:val="both"/>
      </w:pPr>
    </w:p>
    <w:p w14:paraId="02717824" w14:textId="77777777" w:rsidR="00B94702" w:rsidRDefault="00B94702" w:rsidP="00D95F8C">
      <w:pPr>
        <w:spacing w:after="0" w:line="288" w:lineRule="auto"/>
        <w:jc w:val="both"/>
      </w:pPr>
    </w:p>
    <w:p w14:paraId="561AA8E9" w14:textId="77777777" w:rsidR="00D95F8C" w:rsidRPr="009A2329" w:rsidRDefault="009A2329" w:rsidP="00B6554C">
      <w:pPr>
        <w:spacing w:after="0" w:line="288" w:lineRule="auto"/>
        <w:jc w:val="both"/>
        <w:rPr>
          <w:b/>
          <w:i/>
        </w:rPr>
      </w:pPr>
      <w:r w:rsidRPr="009A2329">
        <w:rPr>
          <w:b/>
          <w:i/>
        </w:rPr>
        <w:t>Note méthodologique :</w:t>
      </w:r>
    </w:p>
    <w:p w14:paraId="57CED673" w14:textId="77777777" w:rsidR="009A2329" w:rsidRDefault="009A2329" w:rsidP="00B6554C">
      <w:pPr>
        <w:spacing w:after="0" w:line="288" w:lineRule="auto"/>
        <w:jc w:val="both"/>
      </w:pPr>
    </w:p>
    <w:p w14:paraId="3505E886" w14:textId="77777777" w:rsidR="009A2329" w:rsidRDefault="009A2329" w:rsidP="00B6554C">
      <w:pPr>
        <w:spacing w:after="0" w:line="288" w:lineRule="auto"/>
        <w:jc w:val="both"/>
      </w:pPr>
      <w:r>
        <w:t>Enquête quantitative auprès d’un échantillon de 2000 personnes, représentatif de la population française âgée de 18 ans et plus, interrogé par questionnaire auto-administré en ligne, du 31 août au 8 septembre 2020.</w:t>
      </w:r>
    </w:p>
    <w:p w14:paraId="3EB621FD" w14:textId="77777777" w:rsidR="009A2329" w:rsidRDefault="009A2329" w:rsidP="00B6554C">
      <w:pPr>
        <w:spacing w:after="0" w:line="288" w:lineRule="auto"/>
        <w:jc w:val="both"/>
      </w:pPr>
    </w:p>
    <w:p w14:paraId="31199C88" w14:textId="46B4458E" w:rsidR="00163DCD" w:rsidRDefault="009A2329" w:rsidP="008A3578">
      <w:pPr>
        <w:spacing w:after="0" w:line="288" w:lineRule="auto"/>
        <w:jc w:val="both"/>
      </w:pPr>
      <w:r>
        <w:t xml:space="preserve">Enquête qualitative à base de </w:t>
      </w:r>
      <w:r w:rsidR="00A53F6B">
        <w:t>quatre</w:t>
      </w:r>
      <w:r>
        <w:t xml:space="preserve"> réunions de groupe, auprès de différentes catégories de jeteurs, identifiés à partir de la phase quantitative</w:t>
      </w:r>
      <w:r w:rsidR="00A53F6B">
        <w:t xml:space="preserve">, et d’une réunion de groupe auprès de </w:t>
      </w:r>
      <w:r w:rsidR="00A53F6B" w:rsidRPr="00A53F6B">
        <w:rPr>
          <w:i/>
        </w:rPr>
        <w:t>millennials</w:t>
      </w:r>
      <w:r w:rsidR="00A53F6B">
        <w:t>. Le terrain a eu lieu du 22 au 30 janvier 2021.</w:t>
      </w:r>
    </w:p>
    <w:p w14:paraId="4370FFA7" w14:textId="07EAEA33" w:rsidR="00163DCD" w:rsidRDefault="00163DCD" w:rsidP="00163DCD">
      <w:pPr>
        <w:pStyle w:val="ListParagraph"/>
        <w:spacing w:after="0" w:line="288" w:lineRule="auto"/>
        <w:jc w:val="both"/>
      </w:pPr>
    </w:p>
    <w:p w14:paraId="0E455CB8" w14:textId="77777777" w:rsidR="0075370A" w:rsidRDefault="0075370A" w:rsidP="00B6554C">
      <w:pPr>
        <w:spacing w:after="0" w:line="288" w:lineRule="auto"/>
        <w:jc w:val="both"/>
      </w:pPr>
    </w:p>
    <w:p w14:paraId="1602B10C" w14:textId="77777777" w:rsidR="0075370A" w:rsidRDefault="0075370A" w:rsidP="00B6554C">
      <w:pPr>
        <w:spacing w:after="0" w:line="288" w:lineRule="auto"/>
        <w:jc w:val="both"/>
      </w:pPr>
    </w:p>
    <w:p w14:paraId="004EE7AA" w14:textId="77777777" w:rsidR="0075370A" w:rsidRDefault="0075370A" w:rsidP="00B6554C">
      <w:pPr>
        <w:spacing w:after="0" w:line="288" w:lineRule="auto"/>
        <w:jc w:val="both"/>
      </w:pPr>
    </w:p>
    <w:p w14:paraId="6E1A111D" w14:textId="77777777" w:rsidR="0075370A" w:rsidRDefault="0075370A" w:rsidP="00B6554C">
      <w:pPr>
        <w:spacing w:after="0" w:line="288" w:lineRule="auto"/>
        <w:jc w:val="both"/>
      </w:pPr>
    </w:p>
    <w:p w14:paraId="71EB989F" w14:textId="77777777" w:rsidR="0075370A" w:rsidRDefault="0075370A" w:rsidP="00B6554C">
      <w:pPr>
        <w:spacing w:after="0" w:line="288" w:lineRule="auto"/>
        <w:jc w:val="both"/>
      </w:pPr>
    </w:p>
    <w:sectPr w:rsidR="0075370A" w:rsidSect="00B8629D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5F66" w14:textId="77777777" w:rsidR="0042531A" w:rsidRDefault="0042531A" w:rsidP="00CF3475">
      <w:pPr>
        <w:spacing w:after="0" w:line="240" w:lineRule="auto"/>
      </w:pPr>
      <w:r>
        <w:separator/>
      </w:r>
    </w:p>
  </w:endnote>
  <w:endnote w:type="continuationSeparator" w:id="0">
    <w:p w14:paraId="20F2CC40" w14:textId="77777777" w:rsidR="0042531A" w:rsidRDefault="0042531A" w:rsidP="00CF3475">
      <w:pPr>
        <w:spacing w:after="0" w:line="240" w:lineRule="auto"/>
      </w:pPr>
      <w:r>
        <w:continuationSeparator/>
      </w:r>
    </w:p>
  </w:endnote>
  <w:endnote w:type="continuationNotice" w:id="1">
    <w:p w14:paraId="1938C8AB" w14:textId="77777777" w:rsidR="00147B41" w:rsidRDefault="00147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0B50" w14:textId="1D87B8A6" w:rsidR="00B8629D" w:rsidRPr="00B8629D" w:rsidRDefault="00B8629D">
    <w:pPr>
      <w:pStyle w:val="Footer"/>
      <w:rPr>
        <w:color w:val="B20E10"/>
      </w:rPr>
    </w:pPr>
    <w:r w:rsidRPr="00B8629D">
      <w:rPr>
        <w:color w:val="B20E10"/>
      </w:rPr>
      <w:t xml:space="preserve">Ifop pour Gestes Propres et Citeo </w:t>
    </w:r>
    <w:r w:rsidRPr="00B8629D">
      <w:rPr>
        <w:rFonts w:ascii="Wingdings" w:eastAsia="Wingdings" w:hAnsi="Wingdings" w:cs="Wingdings"/>
        <w:color w:val="B20E10"/>
      </w:rPr>
      <w:t>n</w:t>
    </w:r>
    <w:r w:rsidRPr="00B8629D">
      <w:rPr>
        <w:color w:val="B20E10"/>
      </w:rPr>
      <w:t xml:space="preserve"> </w:t>
    </w:r>
    <w:r w:rsidRPr="00B8629D">
      <w:rPr>
        <w:color w:val="B20E10"/>
      </w:rPr>
      <w:br/>
      <w:t xml:space="preserve">L’attitude des Français vis-à-vis des déchets sauvages </w:t>
    </w:r>
    <w:r w:rsidRPr="00B8629D">
      <w:rPr>
        <w:rFonts w:ascii="Wingdings" w:eastAsia="Wingdings" w:hAnsi="Wingdings" w:cs="Wingdings"/>
        <w:color w:val="B20E10"/>
      </w:rPr>
      <w:t>n</w:t>
    </w:r>
    <w:r w:rsidRPr="00B8629D">
      <w:rPr>
        <w:color w:val="B20E10"/>
      </w:rPr>
      <w:t xml:space="preserve"> Septembre 2020</w:t>
    </w:r>
    <w:r w:rsidRPr="00B8629D">
      <w:rPr>
        <w:color w:val="B20E10"/>
      </w:rPr>
      <w:tab/>
    </w:r>
    <w:r w:rsidRPr="00B8629D">
      <w:rPr>
        <w:color w:val="B20E10"/>
      </w:rPr>
      <w:fldChar w:fldCharType="begin"/>
    </w:r>
    <w:r w:rsidRPr="00B8629D">
      <w:rPr>
        <w:color w:val="B20E10"/>
      </w:rPr>
      <w:instrText xml:space="preserve"> PAGE   \* MERGEFORMAT </w:instrText>
    </w:r>
    <w:r w:rsidRPr="00B8629D">
      <w:rPr>
        <w:color w:val="B20E10"/>
      </w:rPr>
      <w:fldChar w:fldCharType="separate"/>
    </w:r>
    <w:r w:rsidRPr="00B8629D">
      <w:rPr>
        <w:noProof/>
        <w:color w:val="B20E10"/>
      </w:rPr>
      <w:t>3</w:t>
    </w:r>
    <w:r w:rsidRPr="00B8629D">
      <w:rPr>
        <w:color w:val="B20E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0067" w14:textId="77777777" w:rsidR="0042531A" w:rsidRDefault="0042531A" w:rsidP="00CF3475">
      <w:pPr>
        <w:spacing w:after="0" w:line="240" w:lineRule="auto"/>
      </w:pPr>
      <w:r>
        <w:separator/>
      </w:r>
    </w:p>
  </w:footnote>
  <w:footnote w:type="continuationSeparator" w:id="0">
    <w:p w14:paraId="3BE0B4F5" w14:textId="77777777" w:rsidR="0042531A" w:rsidRDefault="0042531A" w:rsidP="00CF3475">
      <w:pPr>
        <w:spacing w:after="0" w:line="240" w:lineRule="auto"/>
      </w:pPr>
      <w:r>
        <w:continuationSeparator/>
      </w:r>
    </w:p>
  </w:footnote>
  <w:footnote w:type="continuationNotice" w:id="1">
    <w:p w14:paraId="0D66C28E" w14:textId="77777777" w:rsidR="00147B41" w:rsidRDefault="00147B41">
      <w:pPr>
        <w:spacing w:after="0" w:line="240" w:lineRule="auto"/>
      </w:pPr>
    </w:p>
  </w:footnote>
  <w:footnote w:id="2">
    <w:p w14:paraId="4C316DB9" w14:textId="77777777" w:rsidR="00CF3475" w:rsidRDefault="00CF3475" w:rsidP="00CF34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3475">
        <w:rPr>
          <w:i/>
          <w:iCs/>
        </w:rPr>
        <w:t>10 signifiant que vous faites totalement attention à vous débarrasser correctement de ce type de déchet en dehors de chez vous et 0 que vous n’y faites pas du tout attention ; les notes intermédiaires permettant de nuancer votre jugement</w:t>
      </w:r>
      <w:r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A54"/>
    <w:multiLevelType w:val="hybridMultilevel"/>
    <w:tmpl w:val="AE686392"/>
    <w:lvl w:ilvl="0" w:tplc="7FEADA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EE7"/>
    <w:multiLevelType w:val="hybridMultilevel"/>
    <w:tmpl w:val="95043D7E"/>
    <w:lvl w:ilvl="0" w:tplc="6C16FA9C">
      <w:start w:val="1"/>
      <w:numFmt w:val="bullet"/>
      <w:lvlText w:val="₋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C0B6B508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66C16A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98D676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4EB2E8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FA145E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60790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875C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826E06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E67127A"/>
    <w:multiLevelType w:val="hybridMultilevel"/>
    <w:tmpl w:val="EA28C688"/>
    <w:lvl w:ilvl="0" w:tplc="E466B2B2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B84574"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740DEA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6F5BA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26E7D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2C08F8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BA7722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DAA79C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0CF2FE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8EF12EE"/>
    <w:multiLevelType w:val="hybridMultilevel"/>
    <w:tmpl w:val="F4809A86"/>
    <w:lvl w:ilvl="0" w:tplc="9A06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A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4F2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8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2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0A6338"/>
    <w:multiLevelType w:val="hybridMultilevel"/>
    <w:tmpl w:val="5CF6AC0E"/>
    <w:lvl w:ilvl="0" w:tplc="3622224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25F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86C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07B3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F99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CC81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081F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686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E7D3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C114A4"/>
    <w:multiLevelType w:val="hybridMultilevel"/>
    <w:tmpl w:val="FA9A860C"/>
    <w:lvl w:ilvl="0" w:tplc="01B6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CF42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4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A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A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A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AD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EB409C"/>
    <w:multiLevelType w:val="hybridMultilevel"/>
    <w:tmpl w:val="EFAC2558"/>
    <w:lvl w:ilvl="0" w:tplc="EE5E1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330D"/>
    <w:multiLevelType w:val="hybridMultilevel"/>
    <w:tmpl w:val="737A91C2"/>
    <w:lvl w:ilvl="0" w:tplc="46466C1E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A2A4E8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D471EA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3C229E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6EA070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843FA4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34A150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E30609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D04188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1E96991"/>
    <w:multiLevelType w:val="hybridMultilevel"/>
    <w:tmpl w:val="6EB47C3E"/>
    <w:lvl w:ilvl="0" w:tplc="D69464C6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86442E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2A28F8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E057FC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664637C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6E8578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02ABFA6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DD0200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F66898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B6C65DE"/>
    <w:multiLevelType w:val="hybridMultilevel"/>
    <w:tmpl w:val="88827F88"/>
    <w:lvl w:ilvl="0" w:tplc="EAA44CE4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E28D40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16CA16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E618F8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CE2630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DE462A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F68612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76500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BECAB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22F448C"/>
    <w:multiLevelType w:val="hybridMultilevel"/>
    <w:tmpl w:val="C3AAFE18"/>
    <w:lvl w:ilvl="0" w:tplc="A9489F6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2210B6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D61E2A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160EB2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3CD89A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243D26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D8496FC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125CF4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9AC920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4C"/>
    <w:rsid w:val="00070140"/>
    <w:rsid w:val="000B3233"/>
    <w:rsid w:val="00147B41"/>
    <w:rsid w:val="00163DCD"/>
    <w:rsid w:val="001A6E4A"/>
    <w:rsid w:val="00200E47"/>
    <w:rsid w:val="00214341"/>
    <w:rsid w:val="002518FF"/>
    <w:rsid w:val="00264CEF"/>
    <w:rsid w:val="002930CA"/>
    <w:rsid w:val="00294BA1"/>
    <w:rsid w:val="002F11A7"/>
    <w:rsid w:val="003137F8"/>
    <w:rsid w:val="003377AF"/>
    <w:rsid w:val="0042531A"/>
    <w:rsid w:val="0042565C"/>
    <w:rsid w:val="004A1311"/>
    <w:rsid w:val="004C456C"/>
    <w:rsid w:val="004F0934"/>
    <w:rsid w:val="00505138"/>
    <w:rsid w:val="005139E3"/>
    <w:rsid w:val="005141E8"/>
    <w:rsid w:val="0059096E"/>
    <w:rsid w:val="006351A4"/>
    <w:rsid w:val="00646E6A"/>
    <w:rsid w:val="006929A6"/>
    <w:rsid w:val="006F30D8"/>
    <w:rsid w:val="0075370A"/>
    <w:rsid w:val="007738BC"/>
    <w:rsid w:val="00795187"/>
    <w:rsid w:val="00830185"/>
    <w:rsid w:val="00854ADE"/>
    <w:rsid w:val="0086694D"/>
    <w:rsid w:val="00873D4A"/>
    <w:rsid w:val="008A12A2"/>
    <w:rsid w:val="008A3578"/>
    <w:rsid w:val="008A7B95"/>
    <w:rsid w:val="008B5C83"/>
    <w:rsid w:val="00902119"/>
    <w:rsid w:val="009556B9"/>
    <w:rsid w:val="009953D0"/>
    <w:rsid w:val="009A2329"/>
    <w:rsid w:val="009C5953"/>
    <w:rsid w:val="00A11438"/>
    <w:rsid w:val="00A46D58"/>
    <w:rsid w:val="00A53F6B"/>
    <w:rsid w:val="00AB6742"/>
    <w:rsid w:val="00AD18A6"/>
    <w:rsid w:val="00B066D8"/>
    <w:rsid w:val="00B6554C"/>
    <w:rsid w:val="00B85559"/>
    <w:rsid w:val="00B8629D"/>
    <w:rsid w:val="00B94702"/>
    <w:rsid w:val="00BB5563"/>
    <w:rsid w:val="00BB7EF3"/>
    <w:rsid w:val="00C015A6"/>
    <w:rsid w:val="00C242F8"/>
    <w:rsid w:val="00CF3475"/>
    <w:rsid w:val="00D95F8C"/>
    <w:rsid w:val="00DA5BB8"/>
    <w:rsid w:val="00E03504"/>
    <w:rsid w:val="00E36204"/>
    <w:rsid w:val="00EF4F74"/>
    <w:rsid w:val="00F46987"/>
    <w:rsid w:val="00F83633"/>
    <w:rsid w:val="00F836C7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1159B"/>
  <w15:chartTrackingRefBased/>
  <w15:docId w15:val="{FAF2289F-9761-41EB-8E25-F4D4856F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4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3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aliases w:val="DEFAULT_TABLE"/>
    <w:basedOn w:val="TableNormal"/>
    <w:uiPriority w:val="99"/>
    <w:rsid w:val="003377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377AF"/>
    <w:pPr>
      <w:spacing w:after="0" w:line="240" w:lineRule="auto"/>
    </w:pPr>
    <w:rPr>
      <w:rFonts w:eastAsiaTheme="minorEastAsia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3377AF"/>
    <w:rPr>
      <w:rFonts w:eastAsiaTheme="minorEastAsia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3377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D"/>
  </w:style>
  <w:style w:type="paragraph" w:styleId="Footer">
    <w:name w:val="footer"/>
    <w:basedOn w:val="Normal"/>
    <w:link w:val="FooterChar"/>
    <w:uiPriority w:val="99"/>
    <w:unhideWhenUsed/>
    <w:rsid w:val="00B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4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1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9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2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E5721A6A24C82BA1DBA06CB935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22490-4698-451E-9D52-D9C3FA4ECC02}"/>
      </w:docPartPr>
      <w:docPartBody>
        <w:p w:rsidR="00AB01BC" w:rsidRDefault="00E904C6" w:rsidP="00E904C6">
          <w:pPr>
            <w:pStyle w:val="FFBE5721A6A24C82BA1DBA06CB9351CD"/>
          </w:pPr>
          <w:r w:rsidRPr="001D74D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6"/>
    <w:rsid w:val="005F78F0"/>
    <w:rsid w:val="00AB01BC"/>
    <w:rsid w:val="00E904C6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4C6"/>
    <w:rPr>
      <w:color w:val="808080"/>
    </w:rPr>
  </w:style>
  <w:style w:type="paragraph" w:customStyle="1" w:styleId="FFBE5721A6A24C82BA1DBA06CB9351CD">
    <w:name w:val="FFBE5721A6A24C82BA1DBA06CB9351CD"/>
    <w:rsid w:val="00E9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773F4B835984B9650FEDA26D6E0C2" ma:contentTypeVersion="13" ma:contentTypeDescription="Crée un document." ma:contentTypeScope="" ma:versionID="63553ac9f263b068eebd0764e46a7c1f">
  <xsd:schema xmlns:xsd="http://www.w3.org/2001/XMLSchema" xmlns:xs="http://www.w3.org/2001/XMLSchema" xmlns:p="http://schemas.microsoft.com/office/2006/metadata/properties" xmlns:ns2="665823f7-3aaf-4f11-b95c-3274912028fb" xmlns:ns3="c49950c8-a295-430f-87ce-424410aa9d81" targetNamespace="http://schemas.microsoft.com/office/2006/metadata/properties" ma:root="true" ma:fieldsID="6b82bb9a84f9756bc516483c7cbeda95" ns2:_="" ns3:_="">
    <xsd:import namespace="665823f7-3aaf-4f11-b95c-3274912028fb"/>
    <xsd:import namespace="c49950c8-a295-430f-87ce-424410aa9d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23f7-3aaf-4f11-b95c-3274912028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0c8-a295-430f-87ce-424410aa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5823f7-3aaf-4f11-b95c-3274912028fb">VJTAUWCV7QTM-1730631337-52660</_dlc_DocId>
    <_dlc_DocIdUrl xmlns="665823f7-3aaf-4f11-b95c-3274912028fb">
      <Url>https://gestespropres.sharepoint.com/sites/GPPartage/_layouts/15/DocIdRedir.aspx?ID=VJTAUWCV7QTM-1730631337-52660</Url>
      <Description>VJTAUWCV7QTM-1730631337-52660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773F4B835984B9650FEDA26D6E0C2" ma:contentTypeVersion="13" ma:contentTypeDescription="Crée un document." ma:contentTypeScope="" ma:versionID="63553ac9f263b068eebd0764e46a7c1f">
  <xsd:schema xmlns:xsd="http://www.w3.org/2001/XMLSchema" xmlns:xs="http://www.w3.org/2001/XMLSchema" xmlns:p="http://schemas.microsoft.com/office/2006/metadata/properties" xmlns:ns2="665823f7-3aaf-4f11-b95c-3274912028fb" xmlns:ns3="c49950c8-a295-430f-87ce-424410aa9d81" targetNamespace="http://schemas.microsoft.com/office/2006/metadata/properties" ma:root="true" ma:fieldsID="6b82bb9a84f9756bc516483c7cbeda95" ns2:_="" ns3:_="">
    <xsd:import namespace="665823f7-3aaf-4f11-b95c-3274912028fb"/>
    <xsd:import namespace="c49950c8-a295-430f-87ce-424410aa9d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23f7-3aaf-4f11-b95c-3274912028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0c8-a295-430f-87ce-424410aa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5823f7-3aaf-4f11-b95c-3274912028fb">VJTAUWCV7QTM-1730631337-52660</_dlc_DocId>
    <_dlc_DocIdUrl xmlns="665823f7-3aaf-4f11-b95c-3274912028fb">
      <Url>https://gestespropres.sharepoint.com/sites/GPPartage/_layouts/15/DocIdRedir.aspx?ID=VJTAUWCV7QTM-1730631337-52660</Url>
      <Description>VJTAUWCV7QTM-1730631337-52660</Description>
    </_dlc_DocIdUrl>
  </documentManagement>
</p:properties>
</file>

<file path=customXml/itemProps1.xml><?xml version="1.0" encoding="utf-8"?>
<ds:datastoreItem xmlns:ds="http://schemas.openxmlformats.org/officeDocument/2006/customXml" ds:itemID="{23001278-9CA5-4C46-8581-FC5589727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823f7-3aaf-4f11-b95c-3274912028fb"/>
    <ds:schemaRef ds:uri="c49950c8-a295-430f-87ce-424410aa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CC448687-614C-4838-AF9E-2B7667EE2A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B37C02-95D6-44A6-8351-85FECEE90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18F03-F7F0-4291-BBEC-9DEE1265B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F5541-F1D4-49CF-AA4B-2D3E932DDBD7}">
  <ds:schemaRefs>
    <ds:schemaRef ds:uri="http://schemas.microsoft.com/office/2006/metadata/properties"/>
    <ds:schemaRef ds:uri="http://schemas.microsoft.com/office/infopath/2007/PartnerControls"/>
    <ds:schemaRef ds:uri="665823f7-3aaf-4f11-b95c-3274912028fb"/>
  </ds:schemaRefs>
</ds:datastoreItem>
</file>

<file path=customXml/itemProps5.xml><?xml version="1.0" encoding="utf-8"?>
<ds:datastoreItem xmlns:ds="http://schemas.openxmlformats.org/officeDocument/2006/customXml" ds:itemID="{CC448687-614C-4838-AF9E-2B7667EE2A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001278-9CA5-4C46-8581-FC5589727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823f7-3aaf-4f11-b95c-3274912028fb"/>
    <ds:schemaRef ds:uri="c49950c8-a295-430f-87ce-424410aa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B37C02-95D6-44A6-8351-85FECEE90C3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EA18F03-F7F0-4291-BBEC-9DEE1265B02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1EF5541-F1D4-49CF-AA4B-2D3E932DDBD7}">
  <ds:schemaRefs>
    <ds:schemaRef ds:uri="http://schemas.microsoft.com/office/2006/metadata/properties"/>
    <ds:schemaRef ds:uri="http://schemas.microsoft.com/office/infopath/2007/PartnerControls"/>
    <ds:schemaRef ds:uri="665823f7-3aaf-4f11-b95c-327491202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1891</Words>
  <Characters>10781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L’attitude des Français vis-à-vis des déchets sauvages                              Principaux enseignements</vt:lpstr>
    </vt:vector>
  </TitlesOfParts>
  <Company>HP Inc.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L’attitude des Français vis-à-vis des déchets sauvages                              Principaux enseignements</dc:title>
  <dc:subject/>
  <dc:creator>Marie Gariazzo</dc:creator>
  <cp:keywords/>
  <dc:description/>
  <cp:lastModifiedBy>Carole-Anne STILL</cp:lastModifiedBy>
  <cp:revision>6</cp:revision>
  <cp:lastPrinted>2021-10-20T01:09:00Z</cp:lastPrinted>
  <dcterms:created xsi:type="dcterms:W3CDTF">2021-10-22T00:21:00Z</dcterms:created>
  <dcterms:modified xsi:type="dcterms:W3CDTF">2021-12-21T19:09:00Z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0x0101003A6773F4B835984B9650FEDA26D6E0C2</vt:lpwstr>
  </property>
  <property fmtid="{D5CDD505-2E9C-101B-9397-08002B2CF9AE}" pid="3" name="_dlc_DocIdItemGuid">
    <vt:lpwstr>9b7bd74a-bb7b-4d5f-8ebc-c7d4cda26b93</vt:lpwstr>
  </property>
</Properties>
</file>